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1021E2">
      <w:pPr>
        <w:spacing w:line="540" w:lineRule="exac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14:paraId="284A93C5">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color w:val="000000" w:themeColor="text1"/>
          <w:sz w:val="44"/>
          <w:szCs w:val="52"/>
          <w:lang w:val="en-US" w:eastAsia="zh-CN"/>
          <w14:textFill>
            <w14:solidFill>
              <w14:schemeClr w14:val="tx1"/>
            </w14:solidFill>
          </w14:textFill>
        </w:rPr>
      </w:pPr>
      <w:r>
        <w:rPr>
          <w:rFonts w:hint="eastAsia" w:ascii="黑体" w:hAnsi="黑体" w:eastAsia="黑体" w:cs="黑体"/>
          <w:color w:val="000000" w:themeColor="text1"/>
          <w:sz w:val="44"/>
          <w:szCs w:val="52"/>
          <w:lang w:val="en-US" w:eastAsia="zh-CN"/>
          <w14:textFill>
            <w14:solidFill>
              <w14:schemeClr w14:val="tx1"/>
            </w14:solidFill>
          </w14:textFill>
        </w:rPr>
        <w:t>三</w:t>
      </w:r>
      <w:r>
        <w:rPr>
          <w:rFonts w:hint="eastAsia" w:ascii="黑体" w:hAnsi="黑体" w:eastAsia="黑体" w:cs="黑体"/>
          <w:color w:val="000000" w:themeColor="text1"/>
          <w:sz w:val="44"/>
          <w:szCs w:val="52"/>
          <w14:textFill>
            <w14:solidFill>
              <w14:schemeClr w14:val="tx1"/>
            </w14:solidFill>
          </w14:textFill>
        </w:rPr>
        <w:t>、</w:t>
      </w:r>
      <w:r>
        <w:rPr>
          <w:rFonts w:hint="eastAsia" w:ascii="黑体" w:hAnsi="黑体" w:eastAsia="黑体" w:cs="黑体"/>
          <w:color w:val="000000" w:themeColor="text1"/>
          <w:sz w:val="44"/>
          <w:szCs w:val="52"/>
          <w:lang w:val="en-US" w:eastAsia="zh-CN"/>
          <w14:textFill>
            <w14:solidFill>
              <w14:schemeClr w14:val="tx1"/>
            </w14:solidFill>
          </w14:textFill>
        </w:rPr>
        <w:t>评分表</w:t>
      </w:r>
    </w:p>
    <w:p w14:paraId="3275BA29">
      <w:pPr>
        <w:pStyle w:val="2"/>
        <w:numPr>
          <w:ilvl w:val="0"/>
          <w:numId w:val="1"/>
        </w:numPr>
        <w:tabs>
          <w:tab w:val="left" w:pos="1765"/>
        </w:tabs>
        <w:spacing w:line="590" w:lineRule="exact"/>
        <w:ind w:right="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前附表</w:t>
      </w:r>
    </w:p>
    <w:p w14:paraId="4609FC84">
      <w:pPr>
        <w:pStyle w:val="2"/>
        <w:numPr>
          <w:ilvl w:val="0"/>
          <w:numId w:val="0"/>
        </w:numPr>
        <w:tabs>
          <w:tab w:val="left" w:pos="1765"/>
        </w:tabs>
        <w:spacing w:line="590" w:lineRule="exact"/>
        <w:ind w:right="0" w:rightChars="0" w:firstLine="562" w:firstLineChars="200"/>
        <w:jc w:val="both"/>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1.符合性审查标准</w:t>
      </w:r>
    </w:p>
    <w:tbl>
      <w:tblPr>
        <w:tblStyle w:val="6"/>
        <w:tblpPr w:leftFromText="180" w:rightFromText="180" w:vertAnchor="text" w:horzAnchor="page" w:tblpX="1103" w:tblpY="103"/>
        <w:tblOverlap w:val="never"/>
        <w:tblW w:w="0" w:type="auto"/>
        <w:tblInd w:w="0" w:type="dxa"/>
        <w:tblLayout w:type="fixed"/>
        <w:tblCellMar>
          <w:top w:w="0" w:type="dxa"/>
          <w:left w:w="0" w:type="dxa"/>
          <w:bottom w:w="0" w:type="dxa"/>
          <w:right w:w="0" w:type="dxa"/>
        </w:tblCellMar>
      </w:tblPr>
      <w:tblGrid>
        <w:gridCol w:w="811"/>
        <w:gridCol w:w="959"/>
        <w:gridCol w:w="1706"/>
        <w:gridCol w:w="5947"/>
      </w:tblGrid>
      <w:tr w14:paraId="1AAB3252">
        <w:tblPrEx>
          <w:tblCellMar>
            <w:top w:w="0" w:type="dxa"/>
            <w:left w:w="0" w:type="dxa"/>
            <w:bottom w:w="0" w:type="dxa"/>
            <w:right w:w="0" w:type="dxa"/>
          </w:tblCellMar>
        </w:tblPrEx>
        <w:trPr>
          <w:trHeight w:val="626"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2C368AE8">
            <w:pPr>
              <w:snapToGrid w:val="0"/>
              <w:ind w:left="0" w:leftChars="0" w:right="0" w:rightChars="0" w:firstLine="0" w:firstLineChars="0"/>
              <w:jc w:val="center"/>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序号</w:t>
            </w: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7DC5AA">
            <w:pPr>
              <w:snapToGrid w:val="0"/>
              <w:ind w:left="0" w:leftChars="0" w:right="0" w:rightChars="0" w:firstLine="0" w:firstLineChars="0"/>
              <w:jc w:val="center"/>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评审项</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EB78B9A">
            <w:pPr>
              <w:snapToGrid w:val="0"/>
              <w:ind w:left="0" w:leftChars="0" w:right="0" w:rightChars="0" w:firstLine="0" w:firstLineChars="0"/>
              <w:jc w:val="center"/>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评审因素</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4144803">
            <w:pPr>
              <w:snapToGrid w:val="0"/>
              <w:ind w:left="0" w:leftChars="0" w:right="0" w:rightChars="0" w:firstLine="0" w:firstLineChars="0"/>
              <w:jc w:val="center"/>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评审标准</w:t>
            </w:r>
          </w:p>
        </w:tc>
      </w:tr>
      <w:tr w14:paraId="3B5A5A7E">
        <w:tblPrEx>
          <w:tblCellMar>
            <w:top w:w="0" w:type="dxa"/>
            <w:left w:w="0" w:type="dxa"/>
            <w:bottom w:w="0" w:type="dxa"/>
            <w:right w:w="0" w:type="dxa"/>
          </w:tblCellMar>
        </w:tblPrEx>
        <w:trPr>
          <w:trHeight w:val="1398" w:hRule="exact"/>
        </w:trPr>
        <w:tc>
          <w:tcPr>
            <w:tcW w:w="811" w:type="dxa"/>
            <w:vMerge w:val="restart"/>
            <w:tcBorders>
              <w:top w:val="single" w:color="000000" w:sz="4" w:space="0"/>
              <w:left w:val="single" w:color="000000" w:sz="4" w:space="0"/>
              <w:right w:val="single" w:color="000000" w:sz="4" w:space="0"/>
            </w:tcBorders>
            <w:noWrap w:val="0"/>
            <w:vAlign w:val="center"/>
          </w:tcPr>
          <w:p w14:paraId="4E89A531">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959" w:type="dxa"/>
            <w:vMerge w:val="restart"/>
            <w:tcBorders>
              <w:top w:val="single" w:color="000000" w:sz="4" w:space="0"/>
              <w:left w:val="single" w:color="000000" w:sz="4" w:space="0"/>
              <w:right w:val="single" w:color="000000" w:sz="4" w:space="0"/>
            </w:tcBorders>
            <w:noWrap w:val="0"/>
            <w:vAlign w:val="center"/>
          </w:tcPr>
          <w:p w14:paraId="156CBAD2">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形</w:t>
            </w:r>
          </w:p>
          <w:p w14:paraId="16EE9618">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式</w:t>
            </w:r>
          </w:p>
          <w:p w14:paraId="2B61393F">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w:t>
            </w:r>
          </w:p>
          <w:p w14:paraId="4B26DEBC">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审</w:t>
            </w:r>
          </w:p>
        </w:tc>
        <w:tc>
          <w:tcPr>
            <w:tcW w:w="1706" w:type="dxa"/>
            <w:tcBorders>
              <w:top w:val="single" w:color="000000" w:sz="4" w:space="0"/>
              <w:left w:val="single" w:color="000000" w:sz="4" w:space="0"/>
              <w:right w:val="single" w:color="000000" w:sz="4" w:space="0"/>
            </w:tcBorders>
            <w:noWrap w:val="0"/>
            <w:vAlign w:val="center"/>
          </w:tcPr>
          <w:p w14:paraId="609F8E64">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供应商名称</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5A3AD4CE">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与市场监管部门或其他行政机关颁发的可以合法开展业务的执照或证书一致（营业执照或事业单位法人证书等证明材料）。</w:t>
            </w:r>
          </w:p>
        </w:tc>
      </w:tr>
      <w:tr w14:paraId="41A66BF9">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69F8116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33E18B7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2C2224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书面承诺函</w:t>
            </w:r>
          </w:p>
          <w:p w14:paraId="56BC54A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格式及内容</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8968D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5FF27D94">
        <w:tblPrEx>
          <w:tblCellMar>
            <w:top w:w="0" w:type="dxa"/>
            <w:left w:w="0" w:type="dxa"/>
            <w:bottom w:w="0" w:type="dxa"/>
            <w:right w:w="0" w:type="dxa"/>
          </w:tblCellMar>
        </w:tblPrEx>
        <w:trPr>
          <w:trHeight w:val="567" w:hRule="exact"/>
        </w:trPr>
        <w:tc>
          <w:tcPr>
            <w:tcW w:w="811" w:type="dxa"/>
            <w:vMerge w:val="continue"/>
            <w:tcBorders>
              <w:left w:val="single" w:color="000000" w:sz="4" w:space="0"/>
              <w:right w:val="single" w:color="000000" w:sz="4" w:space="0"/>
            </w:tcBorders>
            <w:noWrap w:val="0"/>
            <w:vAlign w:val="center"/>
          </w:tcPr>
          <w:p w14:paraId="009AC01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38F4ED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B05AA8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联合体响应</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2C6C913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本项目不接受联合体响应。</w:t>
            </w:r>
          </w:p>
        </w:tc>
      </w:tr>
      <w:tr w14:paraId="68A72068">
        <w:tblPrEx>
          <w:tblCellMar>
            <w:top w:w="0" w:type="dxa"/>
            <w:left w:w="0" w:type="dxa"/>
            <w:bottom w:w="0" w:type="dxa"/>
            <w:right w:w="0" w:type="dxa"/>
          </w:tblCellMar>
        </w:tblPrEx>
        <w:trPr>
          <w:trHeight w:val="537" w:hRule="exact"/>
        </w:trPr>
        <w:tc>
          <w:tcPr>
            <w:tcW w:w="811" w:type="dxa"/>
            <w:vMerge w:val="continue"/>
            <w:tcBorders>
              <w:left w:val="single" w:color="000000" w:sz="4" w:space="0"/>
              <w:bottom w:val="single" w:color="000000" w:sz="4" w:space="0"/>
              <w:right w:val="single" w:color="000000" w:sz="4" w:space="0"/>
            </w:tcBorders>
            <w:noWrap w:val="0"/>
            <w:vAlign w:val="center"/>
          </w:tcPr>
          <w:p w14:paraId="1E13841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bottom w:val="single" w:color="000000" w:sz="4" w:space="0"/>
              <w:right w:val="single" w:color="000000" w:sz="4" w:space="0"/>
            </w:tcBorders>
            <w:noWrap w:val="0"/>
            <w:vAlign w:val="center"/>
          </w:tcPr>
          <w:p w14:paraId="2BD5A4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5105684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C97D61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13C48654">
        <w:tblPrEx>
          <w:tblCellMar>
            <w:top w:w="0" w:type="dxa"/>
            <w:left w:w="0" w:type="dxa"/>
            <w:bottom w:w="0" w:type="dxa"/>
            <w:right w:w="0" w:type="dxa"/>
          </w:tblCellMar>
        </w:tblPrEx>
        <w:trPr>
          <w:trHeight w:val="2257" w:hRule="exact"/>
        </w:trPr>
        <w:tc>
          <w:tcPr>
            <w:tcW w:w="811" w:type="dxa"/>
            <w:vMerge w:val="restart"/>
            <w:tcBorders>
              <w:top w:val="single" w:color="000000" w:sz="4" w:space="0"/>
              <w:left w:val="single" w:color="000000" w:sz="4" w:space="0"/>
              <w:right w:val="single" w:color="000000" w:sz="4" w:space="0"/>
            </w:tcBorders>
            <w:noWrap w:val="0"/>
            <w:vAlign w:val="center"/>
          </w:tcPr>
          <w:p w14:paraId="3F2CA592">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1.2</w:t>
            </w:r>
          </w:p>
        </w:tc>
        <w:tc>
          <w:tcPr>
            <w:tcW w:w="959" w:type="dxa"/>
            <w:vMerge w:val="restart"/>
            <w:tcBorders>
              <w:top w:val="single" w:color="000000" w:sz="4" w:space="0"/>
              <w:left w:val="single" w:color="000000" w:sz="4" w:space="0"/>
              <w:right w:val="single" w:color="000000" w:sz="4" w:space="0"/>
            </w:tcBorders>
            <w:noWrap w:val="0"/>
            <w:vAlign w:val="center"/>
          </w:tcPr>
          <w:p w14:paraId="403327E0">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w:t>
            </w:r>
          </w:p>
          <w:p w14:paraId="04C5F4CE">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格</w:t>
            </w:r>
          </w:p>
          <w:p w14:paraId="3E67D29D">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w:t>
            </w:r>
          </w:p>
          <w:p w14:paraId="6E5ECF41">
            <w:pPr>
              <w:pStyle w:val="8"/>
              <w:keepNext w:val="0"/>
              <w:keepLines w:val="0"/>
              <w:pageBreakBefore w:val="0"/>
              <w:widowControl w:val="0"/>
              <w:kinsoku/>
              <w:wordWrap/>
              <w:overflowPunct/>
              <w:topLinePunct w:val="0"/>
              <w:autoSpaceDE/>
              <w:autoSpaceDN/>
              <w:bidi w:val="0"/>
              <w:adjustRightInd/>
              <w:snapToGrid/>
              <w:spacing w:line="400" w:lineRule="exact"/>
              <w:ind w:left="315" w:right="104" w:hanging="21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6756E98D">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资格要求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32EDE0B">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1.符合《中华人民共和国政府采购法》第二十二条规定的条件（提供书面承诺）；</w:t>
            </w:r>
          </w:p>
          <w:p w14:paraId="35063EF1">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2.单位负责人为同一人或者存在直接控股、管理关系的不同供应商，不得参加同一合同项下的采购活动（提供书面承诺）。</w:t>
            </w:r>
          </w:p>
        </w:tc>
      </w:tr>
      <w:tr w14:paraId="65E0F5E0">
        <w:tblPrEx>
          <w:tblCellMar>
            <w:top w:w="0" w:type="dxa"/>
            <w:left w:w="0" w:type="dxa"/>
            <w:bottom w:w="0" w:type="dxa"/>
            <w:right w:w="0" w:type="dxa"/>
          </w:tblCellMar>
        </w:tblPrEx>
        <w:trPr>
          <w:trHeight w:val="3652" w:hRule="exact"/>
        </w:trPr>
        <w:tc>
          <w:tcPr>
            <w:tcW w:w="811" w:type="dxa"/>
            <w:vMerge w:val="continue"/>
            <w:tcBorders>
              <w:left w:val="single" w:color="000000" w:sz="4" w:space="0"/>
              <w:right w:val="single" w:color="000000" w:sz="4" w:space="0"/>
            </w:tcBorders>
            <w:noWrap w:val="0"/>
            <w:vAlign w:val="center"/>
          </w:tcPr>
          <w:p w14:paraId="5A84394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56A23F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DE9BBE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信用要求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824358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至提交首次响应文件截止时间，供应商（含其不具有独立法人资格的分支机构）不得存在下列不良信用记录情形之一：</w:t>
            </w:r>
          </w:p>
          <w:p w14:paraId="112B347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1.被人民法院列入失信被执行人名单的；</w:t>
            </w:r>
          </w:p>
          <w:p w14:paraId="3AE6F28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2.被税务部门列入重大税收违法失信主体的；</w:t>
            </w:r>
          </w:p>
          <w:p w14:paraId="25DDE12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3.被列入政府采购严重违法失信名单的。</w:t>
            </w:r>
          </w:p>
          <w:p w14:paraId="3705F61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注：是否有不良信用记录，仅以评审当日查询的结果为准。</w:t>
            </w:r>
          </w:p>
        </w:tc>
      </w:tr>
      <w:tr w14:paraId="26265929">
        <w:tblPrEx>
          <w:tblCellMar>
            <w:top w:w="0" w:type="dxa"/>
            <w:left w:w="0" w:type="dxa"/>
            <w:bottom w:w="0" w:type="dxa"/>
            <w:right w:w="0" w:type="dxa"/>
          </w:tblCellMar>
        </w:tblPrEx>
        <w:trPr>
          <w:trHeight w:val="680" w:hRule="exact"/>
        </w:trPr>
        <w:tc>
          <w:tcPr>
            <w:tcW w:w="811" w:type="dxa"/>
            <w:vMerge w:val="continue"/>
            <w:tcBorders>
              <w:left w:val="single" w:color="000000" w:sz="4" w:space="0"/>
              <w:bottom w:val="single" w:color="000000" w:sz="4" w:space="0"/>
              <w:right w:val="single" w:color="000000" w:sz="4" w:space="0"/>
            </w:tcBorders>
            <w:noWrap w:val="0"/>
            <w:vAlign w:val="center"/>
          </w:tcPr>
          <w:p w14:paraId="1A071F3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bottom w:val="single" w:color="000000" w:sz="4" w:space="0"/>
              <w:right w:val="single" w:color="000000" w:sz="4" w:space="0"/>
            </w:tcBorders>
            <w:noWrap w:val="0"/>
            <w:vAlign w:val="center"/>
          </w:tcPr>
          <w:p w14:paraId="1C9CC27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114F731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9D7157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招标文件其他实质性要求。</w:t>
            </w:r>
          </w:p>
        </w:tc>
      </w:tr>
      <w:tr w14:paraId="59BA4172">
        <w:tblPrEx>
          <w:tblCellMar>
            <w:top w:w="0" w:type="dxa"/>
            <w:left w:w="0" w:type="dxa"/>
            <w:bottom w:w="0" w:type="dxa"/>
            <w:right w:w="0" w:type="dxa"/>
          </w:tblCellMar>
        </w:tblPrEx>
        <w:trPr>
          <w:trHeight w:val="1464" w:hRule="exact"/>
        </w:trPr>
        <w:tc>
          <w:tcPr>
            <w:tcW w:w="811" w:type="dxa"/>
            <w:tcBorders>
              <w:top w:val="single" w:color="000000" w:sz="4" w:space="0"/>
              <w:left w:val="single" w:color="000000" w:sz="4" w:space="0"/>
              <w:bottom w:val="single" w:color="000000" w:sz="4" w:space="0"/>
              <w:right w:val="single" w:color="000000" w:sz="4" w:space="0"/>
            </w:tcBorders>
            <w:noWrap w:val="0"/>
            <w:vAlign w:val="center"/>
          </w:tcPr>
          <w:p w14:paraId="7A11AD29">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p>
        </w:tc>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71AC64">
            <w:pPr>
              <w:pStyle w:val="8"/>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7735942">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响应报价</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32AFB14">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响应报价不得超过采购预算（最高限价），只能有一个有效报价，不得提交选择性报价。</w:t>
            </w:r>
          </w:p>
        </w:tc>
      </w:tr>
      <w:tr w14:paraId="707FB230">
        <w:tblPrEx>
          <w:tblCellMar>
            <w:top w:w="0" w:type="dxa"/>
            <w:left w:w="0" w:type="dxa"/>
            <w:bottom w:w="0" w:type="dxa"/>
            <w:right w:w="0" w:type="dxa"/>
          </w:tblCellMar>
        </w:tblPrEx>
        <w:trPr>
          <w:trHeight w:val="917" w:hRule="exact"/>
        </w:trPr>
        <w:tc>
          <w:tcPr>
            <w:tcW w:w="811" w:type="dxa"/>
            <w:vMerge w:val="restart"/>
            <w:tcBorders>
              <w:top w:val="single" w:color="000000" w:sz="4" w:space="0"/>
              <w:left w:val="single" w:color="000000" w:sz="4" w:space="0"/>
              <w:right w:val="single" w:color="000000" w:sz="4" w:space="0"/>
            </w:tcBorders>
            <w:noWrap w:val="0"/>
            <w:vAlign w:val="center"/>
          </w:tcPr>
          <w:p w14:paraId="16F0C889">
            <w:pPr>
              <w:pStyle w:val="8"/>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1.3</w:t>
            </w:r>
          </w:p>
        </w:tc>
        <w:tc>
          <w:tcPr>
            <w:tcW w:w="959" w:type="dxa"/>
            <w:vMerge w:val="restart"/>
            <w:tcBorders>
              <w:top w:val="single" w:color="000000" w:sz="4" w:space="0"/>
              <w:left w:val="single" w:color="000000" w:sz="4" w:space="0"/>
              <w:right w:val="single" w:color="000000" w:sz="4" w:space="0"/>
            </w:tcBorders>
            <w:noWrap w:val="0"/>
            <w:vAlign w:val="center"/>
          </w:tcPr>
          <w:p w14:paraId="66B31912">
            <w:pPr>
              <w:pStyle w:val="8"/>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w:t>
            </w:r>
          </w:p>
          <w:p w14:paraId="41233FDF">
            <w:pPr>
              <w:pStyle w:val="8"/>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w:t>
            </w:r>
          </w:p>
          <w:p w14:paraId="00A41397">
            <w:pPr>
              <w:pStyle w:val="8"/>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性</w:t>
            </w:r>
          </w:p>
          <w:p w14:paraId="762DD19A">
            <w:pPr>
              <w:pStyle w:val="8"/>
              <w:keepNext w:val="0"/>
              <w:keepLines w:val="0"/>
              <w:pageBreakBefore w:val="0"/>
              <w:widowControl w:val="0"/>
              <w:kinsoku/>
              <w:wordWrap/>
              <w:overflowPunct/>
              <w:topLinePunct w:val="0"/>
              <w:autoSpaceDE/>
              <w:autoSpaceDN/>
              <w:bidi w:val="0"/>
              <w:adjustRightInd/>
              <w:snapToGrid/>
              <w:spacing w:line="400" w:lineRule="exact"/>
              <w:ind w:left="210" w:right="104" w:hanging="105"/>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w:t>
            </w:r>
          </w:p>
          <w:p w14:paraId="3B73D4CA">
            <w:pPr>
              <w:pStyle w:val="8"/>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审</w:t>
            </w: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645278F">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w:t>
            </w:r>
          </w:p>
          <w:p w14:paraId="2778947D">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有效期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38CBA97">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4934A1B8">
        <w:tblPrEx>
          <w:tblCellMar>
            <w:top w:w="0" w:type="dxa"/>
            <w:left w:w="0" w:type="dxa"/>
            <w:bottom w:w="0" w:type="dxa"/>
            <w:right w:w="0" w:type="dxa"/>
          </w:tblCellMar>
        </w:tblPrEx>
        <w:trPr>
          <w:trHeight w:val="907" w:hRule="exact"/>
        </w:trPr>
        <w:tc>
          <w:tcPr>
            <w:tcW w:w="811" w:type="dxa"/>
            <w:vMerge w:val="continue"/>
            <w:tcBorders>
              <w:left w:val="single" w:color="000000" w:sz="4" w:space="0"/>
              <w:right w:val="single" w:color="000000" w:sz="4" w:space="0"/>
            </w:tcBorders>
            <w:noWrap w:val="0"/>
            <w:vAlign w:val="center"/>
          </w:tcPr>
          <w:p w14:paraId="021E9B0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1CCCCE2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20CBDFD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10BE52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1CFB06E8">
        <w:tblPrEx>
          <w:tblCellMar>
            <w:top w:w="0" w:type="dxa"/>
            <w:left w:w="0" w:type="dxa"/>
            <w:bottom w:w="0" w:type="dxa"/>
            <w:right w:w="0" w:type="dxa"/>
          </w:tblCellMar>
        </w:tblPrEx>
        <w:trPr>
          <w:trHeight w:val="959" w:hRule="exact"/>
        </w:trPr>
        <w:tc>
          <w:tcPr>
            <w:tcW w:w="811" w:type="dxa"/>
            <w:vMerge w:val="continue"/>
            <w:tcBorders>
              <w:left w:val="single" w:color="000000" w:sz="4" w:space="0"/>
              <w:right w:val="single" w:color="000000" w:sz="4" w:space="0"/>
            </w:tcBorders>
            <w:shd w:val="clear" w:color="auto" w:fill="auto"/>
            <w:noWrap w:val="0"/>
            <w:vAlign w:val="center"/>
          </w:tcPr>
          <w:p w14:paraId="08299F15">
            <w:pPr>
              <w:pStyle w:val="8"/>
              <w:keepNext w:val="0"/>
              <w:keepLines w:val="0"/>
              <w:pageBreakBefore w:val="0"/>
              <w:widowControl w:val="0"/>
              <w:kinsoku/>
              <w:wordWrap/>
              <w:overflowPunct/>
              <w:topLinePunct w:val="0"/>
              <w:autoSpaceDE/>
              <w:autoSpaceDN/>
              <w:bidi w:val="0"/>
              <w:adjustRightInd/>
              <w:snapToGrid/>
              <w:spacing w:line="400" w:lineRule="exact"/>
              <w:ind w:right="0" w:rightChars="0"/>
              <w:jc w:val="center"/>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shd w:val="clear" w:color="auto" w:fill="auto"/>
            <w:noWrap w:val="0"/>
            <w:vAlign w:val="center"/>
          </w:tcPr>
          <w:p w14:paraId="2CB1F4F6">
            <w:pPr>
              <w:pStyle w:val="8"/>
              <w:keepNext w:val="0"/>
              <w:keepLines w:val="0"/>
              <w:pageBreakBefore w:val="0"/>
              <w:widowControl w:val="0"/>
              <w:kinsoku/>
              <w:wordWrap/>
              <w:overflowPunct/>
              <w:topLinePunct w:val="0"/>
              <w:autoSpaceDE/>
              <w:autoSpaceDN/>
              <w:bidi w:val="0"/>
              <w:adjustRightInd/>
              <w:snapToGrid/>
              <w:spacing w:line="400" w:lineRule="exact"/>
              <w:ind w:left="210" w:leftChars="0" w:right="104" w:rightChars="0" w:hanging="105" w:firstLineChars="0"/>
              <w:jc w:val="center"/>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824BDB9">
            <w:pPr>
              <w:pStyle w:val="8"/>
              <w:keepNext w:val="0"/>
              <w:keepLines w:val="0"/>
              <w:pageBreakBefore w:val="0"/>
              <w:widowControl w:val="0"/>
              <w:kinsoku/>
              <w:wordWrap/>
              <w:overflowPunct/>
              <w:topLinePunct w:val="0"/>
              <w:autoSpaceDE/>
              <w:autoSpaceDN/>
              <w:bidi w:val="0"/>
              <w:adjustRightInd/>
              <w:snapToGrid/>
              <w:spacing w:line="400" w:lineRule="exact"/>
              <w:ind w:right="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付款方式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6DC408E7">
            <w:pPr>
              <w:pStyle w:val="8"/>
              <w:keepNext w:val="0"/>
              <w:keepLines w:val="0"/>
              <w:pageBreakBefore w:val="0"/>
              <w:widowControl w:val="0"/>
              <w:kinsoku/>
              <w:wordWrap/>
              <w:overflowPunct/>
              <w:topLinePunct w:val="0"/>
              <w:autoSpaceDE/>
              <w:autoSpaceDN/>
              <w:bidi w:val="0"/>
              <w:adjustRightInd/>
              <w:snapToGrid/>
              <w:spacing w:line="400" w:lineRule="exact"/>
              <w:ind w:left="103"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2401A848">
        <w:tblPrEx>
          <w:tblCellMar>
            <w:top w:w="0" w:type="dxa"/>
            <w:left w:w="0" w:type="dxa"/>
            <w:bottom w:w="0" w:type="dxa"/>
            <w:right w:w="0" w:type="dxa"/>
          </w:tblCellMar>
        </w:tblPrEx>
        <w:trPr>
          <w:trHeight w:val="1039" w:hRule="exact"/>
        </w:trPr>
        <w:tc>
          <w:tcPr>
            <w:tcW w:w="811" w:type="dxa"/>
            <w:vMerge w:val="continue"/>
            <w:tcBorders>
              <w:left w:val="single" w:color="000000" w:sz="4" w:space="0"/>
              <w:right w:val="single" w:color="000000" w:sz="4" w:space="0"/>
            </w:tcBorders>
            <w:noWrap w:val="0"/>
            <w:vAlign w:val="center"/>
          </w:tcPr>
          <w:p w14:paraId="67E8A0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12212E2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090387F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服务质量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3D9A4A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56B5BF0C">
        <w:tblPrEx>
          <w:tblCellMar>
            <w:top w:w="0" w:type="dxa"/>
            <w:left w:w="0" w:type="dxa"/>
            <w:bottom w:w="0" w:type="dxa"/>
            <w:right w:w="0" w:type="dxa"/>
          </w:tblCellMar>
        </w:tblPrEx>
        <w:trPr>
          <w:trHeight w:val="896" w:hRule="exact"/>
        </w:trPr>
        <w:tc>
          <w:tcPr>
            <w:tcW w:w="811" w:type="dxa"/>
            <w:vMerge w:val="continue"/>
            <w:tcBorders>
              <w:left w:val="single" w:color="000000" w:sz="4" w:space="0"/>
              <w:right w:val="single" w:color="000000" w:sz="4" w:space="0"/>
            </w:tcBorders>
            <w:noWrap w:val="0"/>
            <w:vAlign w:val="center"/>
          </w:tcPr>
          <w:p w14:paraId="7C44E71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6F3DBC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373533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免费质保期</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7B6C162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142C9E89">
        <w:tblPrEx>
          <w:tblCellMar>
            <w:top w:w="0" w:type="dxa"/>
            <w:left w:w="0" w:type="dxa"/>
            <w:bottom w:w="0" w:type="dxa"/>
            <w:right w:w="0" w:type="dxa"/>
          </w:tblCellMar>
        </w:tblPrEx>
        <w:trPr>
          <w:trHeight w:val="805" w:hRule="exact"/>
        </w:trPr>
        <w:tc>
          <w:tcPr>
            <w:tcW w:w="811" w:type="dxa"/>
            <w:vMerge w:val="continue"/>
            <w:tcBorders>
              <w:left w:val="single" w:color="000000" w:sz="4" w:space="0"/>
              <w:right w:val="single" w:color="000000" w:sz="4" w:space="0"/>
            </w:tcBorders>
            <w:noWrap w:val="0"/>
            <w:vAlign w:val="center"/>
          </w:tcPr>
          <w:p w14:paraId="330F60C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3571F8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AFD52D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合同形式</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078551E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应符合招标文件的要求。</w:t>
            </w:r>
          </w:p>
        </w:tc>
      </w:tr>
      <w:tr w14:paraId="7F0A5422">
        <w:tblPrEx>
          <w:tblCellMar>
            <w:top w:w="0" w:type="dxa"/>
            <w:left w:w="0" w:type="dxa"/>
            <w:bottom w:w="0" w:type="dxa"/>
            <w:right w:w="0" w:type="dxa"/>
          </w:tblCellMar>
        </w:tblPrEx>
        <w:trPr>
          <w:trHeight w:val="850" w:hRule="exact"/>
        </w:trPr>
        <w:tc>
          <w:tcPr>
            <w:tcW w:w="811" w:type="dxa"/>
            <w:vMerge w:val="continue"/>
            <w:tcBorders>
              <w:left w:val="single" w:color="000000" w:sz="4" w:space="0"/>
              <w:right w:val="single" w:color="000000" w:sz="4" w:space="0"/>
            </w:tcBorders>
            <w:noWrap w:val="0"/>
            <w:vAlign w:val="center"/>
          </w:tcPr>
          <w:p w14:paraId="2129E1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right w:val="single" w:color="000000" w:sz="4" w:space="0"/>
            </w:tcBorders>
            <w:noWrap w:val="0"/>
            <w:vAlign w:val="center"/>
          </w:tcPr>
          <w:p w14:paraId="1A470F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42A5088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响应文件异常监测</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041B64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不同供应商的文件制作机器识别码、MAC地址、IP地址不得相同。</w:t>
            </w:r>
          </w:p>
        </w:tc>
      </w:tr>
      <w:tr w14:paraId="3315306C">
        <w:tblPrEx>
          <w:tblCellMar>
            <w:top w:w="0" w:type="dxa"/>
            <w:left w:w="0" w:type="dxa"/>
            <w:bottom w:w="0" w:type="dxa"/>
            <w:right w:w="0" w:type="dxa"/>
          </w:tblCellMar>
        </w:tblPrEx>
        <w:trPr>
          <w:trHeight w:val="755" w:hRule="exact"/>
        </w:trPr>
        <w:tc>
          <w:tcPr>
            <w:tcW w:w="811" w:type="dxa"/>
            <w:vMerge w:val="continue"/>
            <w:tcBorders>
              <w:left w:val="single" w:color="000000" w:sz="4" w:space="0"/>
              <w:bottom w:val="single" w:color="000000" w:sz="4" w:space="0"/>
              <w:right w:val="single" w:color="000000" w:sz="4" w:space="0"/>
            </w:tcBorders>
            <w:noWrap w:val="0"/>
            <w:vAlign w:val="center"/>
          </w:tcPr>
          <w:p w14:paraId="4A9050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959" w:type="dxa"/>
            <w:vMerge w:val="continue"/>
            <w:tcBorders>
              <w:left w:val="single" w:color="000000" w:sz="4" w:space="0"/>
              <w:bottom w:val="single" w:color="000000" w:sz="4" w:space="0"/>
              <w:right w:val="single" w:color="000000" w:sz="4" w:space="0"/>
            </w:tcBorders>
            <w:noWrap w:val="0"/>
            <w:vAlign w:val="center"/>
          </w:tcPr>
          <w:p w14:paraId="4159F8F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p>
        </w:tc>
        <w:tc>
          <w:tcPr>
            <w:tcW w:w="1706" w:type="dxa"/>
            <w:tcBorders>
              <w:top w:val="single" w:color="000000" w:sz="4" w:space="0"/>
              <w:left w:val="single" w:color="000000" w:sz="4" w:space="0"/>
              <w:bottom w:val="single" w:color="000000" w:sz="4" w:space="0"/>
              <w:right w:val="single" w:color="000000" w:sz="4" w:space="0"/>
            </w:tcBorders>
            <w:noWrap w:val="0"/>
            <w:vAlign w:val="center"/>
          </w:tcPr>
          <w:p w14:paraId="770688B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5947" w:type="dxa"/>
            <w:tcBorders>
              <w:top w:val="single" w:color="000000" w:sz="4" w:space="0"/>
              <w:left w:val="single" w:color="000000" w:sz="4" w:space="0"/>
              <w:bottom w:val="single" w:color="000000" w:sz="4" w:space="0"/>
              <w:right w:val="single" w:color="000000" w:sz="4" w:space="0"/>
            </w:tcBorders>
            <w:noWrap w:val="0"/>
            <w:vAlign w:val="center"/>
          </w:tcPr>
          <w:p w14:paraId="17C22E7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招标文件其他实质性要求。</w:t>
            </w:r>
          </w:p>
        </w:tc>
      </w:tr>
    </w:tbl>
    <w:p w14:paraId="65889FB7">
      <w:pPr>
        <w:spacing w:line="540" w:lineRule="exact"/>
        <w:jc w:val="left"/>
        <w:rPr>
          <w:rFonts w:hint="default" w:ascii="黑体" w:hAnsi="黑体" w:eastAsia="黑体" w:cs="黑体"/>
          <w:bCs/>
          <w:snapToGrid w:val="0"/>
          <w:kern w:val="0"/>
          <w:sz w:val="32"/>
          <w:szCs w:val="32"/>
          <w:lang w:val="en-US" w:eastAsia="zh-CN"/>
        </w:rPr>
      </w:pPr>
      <w:r>
        <w:rPr>
          <w:rFonts w:hint="eastAsia" w:ascii="仿宋_GB2312" w:hAnsi="仿宋_GB2312" w:eastAsia="仿宋_GB2312" w:cs="仿宋_GB2312"/>
          <w:b/>
          <w:bCs/>
          <w:color w:val="000000"/>
          <w:sz w:val="28"/>
          <w:szCs w:val="28"/>
          <w:lang w:val="en-US" w:eastAsia="zh-CN"/>
        </w:rPr>
        <w:t>二、</w:t>
      </w:r>
      <w:r>
        <w:rPr>
          <w:rFonts w:hint="eastAsia" w:ascii="仿宋_GB2312" w:hAnsi="仿宋_GB2312" w:eastAsia="仿宋_GB2312" w:cs="仿宋_GB2312"/>
          <w:b/>
          <w:bCs/>
          <w:color w:val="000000"/>
          <w:sz w:val="28"/>
          <w:szCs w:val="28"/>
        </w:rPr>
        <w:t>评</w:t>
      </w:r>
      <w:r>
        <w:rPr>
          <w:rFonts w:hint="eastAsia" w:ascii="仿宋_GB2312" w:hAnsi="仿宋_GB2312" w:eastAsia="仿宋_GB2312" w:cs="仿宋_GB2312"/>
          <w:b/>
          <w:bCs/>
          <w:color w:val="000000"/>
          <w:sz w:val="28"/>
          <w:szCs w:val="28"/>
          <w:lang w:val="en-US" w:eastAsia="zh-CN"/>
        </w:rPr>
        <w:t>分</w:t>
      </w:r>
      <w:r>
        <w:rPr>
          <w:rFonts w:hint="eastAsia" w:ascii="仿宋_GB2312" w:hAnsi="仿宋_GB2312" w:eastAsia="仿宋_GB2312" w:cs="仿宋_GB2312"/>
          <w:b/>
          <w:bCs/>
          <w:color w:val="000000"/>
          <w:sz w:val="28"/>
          <w:szCs w:val="28"/>
        </w:rPr>
        <w:t>表</w:t>
      </w:r>
    </w:p>
    <w:tbl>
      <w:tblPr>
        <w:tblStyle w:val="6"/>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0"/>
        <w:gridCol w:w="1556"/>
        <w:gridCol w:w="1584"/>
        <w:gridCol w:w="712"/>
        <w:gridCol w:w="4710"/>
      </w:tblGrid>
      <w:tr w14:paraId="0220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2056" w:type="dxa"/>
            <w:gridSpan w:val="2"/>
            <w:noWrap w:val="0"/>
            <w:vAlign w:val="center"/>
          </w:tcPr>
          <w:p w14:paraId="5E785AD7">
            <w:pPr>
              <w:snapToGrid w:val="0"/>
              <w:ind w:left="0" w:leftChars="0" w:right="0" w:rightChars="0" w:firstLine="0" w:firstLineChars="0"/>
              <w:jc w:val="center"/>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评分部分</w:t>
            </w:r>
          </w:p>
        </w:tc>
        <w:tc>
          <w:tcPr>
            <w:tcW w:w="1584" w:type="dxa"/>
            <w:noWrap w:val="0"/>
            <w:tcMar>
              <w:left w:w="75" w:type="dxa"/>
            </w:tcMar>
            <w:vAlign w:val="center"/>
          </w:tcPr>
          <w:p w14:paraId="35EB555E">
            <w:pPr>
              <w:snapToGrid w:val="0"/>
              <w:ind w:left="0" w:leftChars="0" w:right="0" w:rightChars="0"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2" w:type="dxa"/>
            <w:noWrap w:val="0"/>
            <w:vAlign w:val="center"/>
          </w:tcPr>
          <w:p w14:paraId="398D229D">
            <w:pPr>
              <w:widowControl/>
              <w:snapToGrid w:val="0"/>
              <w:ind w:left="0" w:leftChars="0" w:right="0" w:rightChars="0"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bCs/>
                <w:color w:val="auto"/>
                <w:kern w:val="0"/>
                <w:sz w:val="21"/>
                <w:szCs w:val="21"/>
                <w:highlight w:val="none"/>
              </w:rPr>
              <w:t>评分因素权重分值</w:t>
            </w:r>
          </w:p>
        </w:tc>
        <w:tc>
          <w:tcPr>
            <w:tcW w:w="4710" w:type="dxa"/>
            <w:noWrap w:val="0"/>
            <w:vAlign w:val="center"/>
          </w:tcPr>
          <w:p w14:paraId="61D9D214">
            <w:pPr>
              <w:widowControl/>
              <w:snapToGrid w:val="0"/>
              <w:ind w:left="0" w:leftChars="0" w:right="0" w:rightChars="0" w:firstLine="0" w:firstLineChars="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评分标准</w:t>
            </w:r>
          </w:p>
        </w:tc>
      </w:tr>
      <w:tr w14:paraId="1937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restart"/>
            <w:noWrap w:val="0"/>
            <w:vAlign w:val="center"/>
          </w:tcPr>
          <w:p w14:paraId="72F22DC1">
            <w:pPr>
              <w:snapToGrid w:val="0"/>
              <w:ind w:left="0" w:leftChars="0" w:right="0" w:rightChars="0" w:firstLine="0" w:firstLineChars="0"/>
              <w:jc w:val="center"/>
              <w:rPr>
                <w:rFonts w:hint="eastAsia" w:ascii="宋体" w:hAnsi="宋体" w:eastAsia="宋体" w:cs="宋体"/>
                <w:bCs/>
                <w:color w:val="auto"/>
                <w:kern w:val="0"/>
                <w:sz w:val="21"/>
                <w:szCs w:val="21"/>
                <w:highlight w:val="none"/>
                <w:lang w:val="en-US" w:eastAsia="zh-CN"/>
              </w:rPr>
            </w:pPr>
            <w:r>
              <w:rPr>
                <w:rFonts w:hint="eastAsia" w:ascii="宋体" w:hAnsi="宋体" w:cs="宋体"/>
                <w:bCs/>
                <w:color w:val="auto"/>
                <w:kern w:val="0"/>
                <w:sz w:val="21"/>
                <w:szCs w:val="21"/>
                <w:highlight w:val="none"/>
                <w:lang w:val="en-US" w:eastAsia="zh-CN"/>
              </w:rPr>
              <w:t>1、</w:t>
            </w:r>
          </w:p>
        </w:tc>
        <w:tc>
          <w:tcPr>
            <w:tcW w:w="1556" w:type="dxa"/>
            <w:vMerge w:val="restart"/>
            <w:noWrap w:val="0"/>
            <w:vAlign w:val="center"/>
          </w:tcPr>
          <w:p w14:paraId="223737F4">
            <w:pPr>
              <w:snapToGrid w:val="0"/>
              <w:ind w:left="0" w:leftChars="0" w:right="0" w:rightChars="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商务</w:t>
            </w:r>
            <w:r>
              <w:rPr>
                <w:rFonts w:hint="eastAsia" w:ascii="宋体" w:hAnsi="宋体" w:eastAsia="宋体" w:cs="宋体"/>
                <w:color w:val="auto"/>
                <w:sz w:val="21"/>
                <w:szCs w:val="21"/>
                <w:highlight w:val="none"/>
                <w:lang w:val="en-US" w:eastAsia="zh-CN"/>
              </w:rPr>
              <w:t>部分</w:t>
            </w:r>
          </w:p>
        </w:tc>
        <w:tc>
          <w:tcPr>
            <w:tcW w:w="1584" w:type="dxa"/>
            <w:noWrap w:val="0"/>
            <w:tcMar>
              <w:left w:w="75" w:type="dxa"/>
            </w:tcMar>
            <w:vAlign w:val="center"/>
          </w:tcPr>
          <w:p w14:paraId="62AC9CD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投标人认证</w:t>
            </w:r>
          </w:p>
        </w:tc>
        <w:tc>
          <w:tcPr>
            <w:tcW w:w="712" w:type="dxa"/>
            <w:noWrap w:val="0"/>
            <w:vAlign w:val="center"/>
          </w:tcPr>
          <w:p w14:paraId="47731B8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3</w:t>
            </w:r>
            <w:r>
              <w:rPr>
                <w:rFonts w:hint="eastAsia" w:ascii="宋体" w:hAnsi="宋体" w:eastAsia="宋体" w:cs="宋体"/>
                <w:color w:val="auto"/>
                <w:kern w:val="0"/>
                <w:sz w:val="21"/>
                <w:szCs w:val="21"/>
                <w:highlight w:val="none"/>
                <w:u w:val="none"/>
              </w:rPr>
              <w:t>分</w:t>
            </w:r>
          </w:p>
        </w:tc>
        <w:tc>
          <w:tcPr>
            <w:tcW w:w="4710" w:type="dxa"/>
            <w:noWrap w:val="0"/>
            <w:vAlign w:val="center"/>
          </w:tcPr>
          <w:p w14:paraId="707EBFD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投标人具有经国家认证认可监督管理委员会认可的认证机构颁发的质量管理体系认证</w:t>
            </w:r>
            <w:r>
              <w:rPr>
                <w:rFonts w:hint="eastAsia" w:ascii="宋体" w:hAnsi="宋体" w:eastAsia="宋体" w:cs="宋体"/>
                <w:color w:val="auto"/>
                <w:sz w:val="21"/>
                <w:szCs w:val="21"/>
                <w:highlight w:val="none"/>
                <w:lang w:val="en-US" w:eastAsia="zh-CN"/>
              </w:rPr>
              <w:t>证书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职业健康安全管理体系认证</w:t>
            </w:r>
            <w:r>
              <w:rPr>
                <w:rFonts w:hint="eastAsia" w:ascii="宋体" w:hAnsi="宋体" w:eastAsia="宋体" w:cs="宋体"/>
                <w:color w:val="auto"/>
                <w:sz w:val="21"/>
                <w:szCs w:val="21"/>
                <w:highlight w:val="none"/>
                <w:lang w:val="en-US" w:eastAsia="zh-CN"/>
              </w:rPr>
              <w:t>证书</w:t>
            </w:r>
            <w:r>
              <w:rPr>
                <w:rFonts w:hint="eastAsia" w:ascii="宋体" w:hAnsi="宋体" w:eastAsia="宋体" w:cs="宋体"/>
                <w:color w:val="auto"/>
                <w:sz w:val="21"/>
                <w:szCs w:val="21"/>
                <w:highlight w:val="none"/>
                <w:lang w:val="en-US"/>
              </w:rPr>
              <w:t>、环境管理体系认证</w:t>
            </w:r>
            <w:r>
              <w:rPr>
                <w:rFonts w:hint="eastAsia" w:ascii="宋体" w:hAnsi="宋体" w:eastAsia="宋体" w:cs="宋体"/>
                <w:color w:val="auto"/>
                <w:sz w:val="21"/>
                <w:szCs w:val="21"/>
                <w:highlight w:val="none"/>
                <w:lang w:val="en-US" w:eastAsia="zh-CN"/>
              </w:rPr>
              <w:t>证书</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rPr>
              <w:t>每一项认证得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最多得3</w:t>
            </w:r>
            <w:r>
              <w:rPr>
                <w:rFonts w:hint="eastAsia" w:ascii="宋体" w:hAnsi="宋体" w:eastAsia="宋体" w:cs="宋体"/>
                <w:color w:val="auto"/>
                <w:sz w:val="21"/>
                <w:szCs w:val="21"/>
                <w:highlight w:val="none"/>
              </w:rPr>
              <w:t>分。</w:t>
            </w:r>
          </w:p>
          <w:p w14:paraId="4454C7C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rPr>
              <w:t>注：投标文件中提供证书扫描件作为评审依据，证书中应能体现发证机构已获认监委认证或能体现该证书可在认监委网站查询，否则须同时在投标文件中提供在认监委网站对证书发证机构的查询截图作为评审依据。</w:t>
            </w:r>
          </w:p>
        </w:tc>
      </w:tr>
      <w:tr w14:paraId="6F65D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6F552801">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77E3932F">
            <w:pPr>
              <w:snapToGrid w:val="0"/>
              <w:ind w:left="0" w:leftChars="0" w:right="0" w:rightChars="0" w:firstLine="0" w:firstLineChars="0"/>
              <w:jc w:val="center"/>
              <w:rPr>
                <w:rFonts w:hint="eastAsia" w:ascii="宋体" w:hAnsi="宋体" w:eastAsia="宋体" w:cs="宋体"/>
                <w:color w:val="auto"/>
                <w:sz w:val="21"/>
                <w:szCs w:val="21"/>
                <w:highlight w:val="none"/>
              </w:rPr>
            </w:pPr>
          </w:p>
        </w:tc>
        <w:tc>
          <w:tcPr>
            <w:tcW w:w="1584" w:type="dxa"/>
            <w:noWrap w:val="0"/>
            <w:tcMar>
              <w:left w:w="75" w:type="dxa"/>
            </w:tcMar>
            <w:vAlign w:val="center"/>
          </w:tcPr>
          <w:p w14:paraId="5B97C44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业绩</w:t>
            </w:r>
          </w:p>
        </w:tc>
        <w:tc>
          <w:tcPr>
            <w:tcW w:w="712" w:type="dxa"/>
            <w:noWrap w:val="0"/>
            <w:vAlign w:val="center"/>
          </w:tcPr>
          <w:p w14:paraId="1127B05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9</w:t>
            </w:r>
            <w:r>
              <w:rPr>
                <w:rFonts w:hint="eastAsia" w:ascii="宋体" w:hAnsi="宋体" w:eastAsia="宋体" w:cs="宋体"/>
                <w:color w:val="auto"/>
                <w:kern w:val="0"/>
                <w:sz w:val="21"/>
                <w:szCs w:val="21"/>
                <w:highlight w:val="none"/>
                <w:u w:val="none"/>
              </w:rPr>
              <w:t>分</w:t>
            </w:r>
          </w:p>
        </w:tc>
        <w:tc>
          <w:tcPr>
            <w:tcW w:w="4710" w:type="dxa"/>
            <w:noWrap w:val="0"/>
            <w:vAlign w:val="center"/>
          </w:tcPr>
          <w:p w14:paraId="708538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lang w:val="en-US" w:eastAsia="zh-CN"/>
              </w:rPr>
              <w:t>20</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rPr>
              <w:t>年1月1日以来（以合同签订时间为准），投标人具有设计制作或印刷业绩，且单个合同中设计制作或印刷金额不少于</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万元的，每个得3分，满分9分。</w:t>
            </w:r>
          </w:p>
          <w:p w14:paraId="706C794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p>
          <w:p w14:paraId="68C635C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1.投标人应按下列规定提供业绩证明资料：</w:t>
            </w:r>
          </w:p>
          <w:p w14:paraId="3B6AD1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（1）合同；</w:t>
            </w:r>
          </w:p>
          <w:p w14:paraId="653698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（2）供货完毕并验收合格的相关证明文件（如验收证书或买方开具的证明等）；</w:t>
            </w:r>
          </w:p>
          <w:p w14:paraId="233F468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2.业绩合同可提供包含甲乙方、项目名称、合同总金额、合同签订时间、合同供货范围、合同签字盖章页等关键内容的关键页的扫描件；</w:t>
            </w:r>
          </w:p>
          <w:p w14:paraId="4025FE1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3.以上涉及到的材料扫描件信息应完整或能充分反映评审因素。如均未能明确反映出招标文件所要求的内容的（如合同中设计制作或印刷金额、合同内容等），应另附买方（或合同甲方）出具的证明资料予以明确说明。</w:t>
            </w:r>
          </w:p>
        </w:tc>
      </w:tr>
      <w:tr w14:paraId="09BA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500" w:type="dxa"/>
            <w:vMerge w:val="continue"/>
            <w:noWrap w:val="0"/>
            <w:vAlign w:val="center"/>
          </w:tcPr>
          <w:p w14:paraId="35AB16F1">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796D3CFE">
            <w:pPr>
              <w:snapToGrid w:val="0"/>
              <w:ind w:left="0" w:leftChars="0" w:right="0" w:rightChars="0" w:firstLine="0" w:firstLineChars="0"/>
              <w:jc w:val="center"/>
              <w:rPr>
                <w:rFonts w:hint="eastAsia" w:ascii="宋体" w:hAnsi="宋体" w:eastAsia="宋体" w:cs="宋体"/>
                <w:color w:val="auto"/>
                <w:sz w:val="21"/>
                <w:szCs w:val="21"/>
                <w:highlight w:val="none"/>
              </w:rPr>
            </w:pPr>
          </w:p>
        </w:tc>
        <w:tc>
          <w:tcPr>
            <w:tcW w:w="1584" w:type="dxa"/>
            <w:noWrap w:val="0"/>
            <w:tcMar>
              <w:left w:w="75" w:type="dxa"/>
            </w:tcMar>
            <w:vAlign w:val="center"/>
          </w:tcPr>
          <w:p w14:paraId="1748B14C">
            <w:pPr>
              <w:pStyle w:val="4"/>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投标人的生产能力（生产线、生产设备）</w:t>
            </w:r>
          </w:p>
        </w:tc>
        <w:tc>
          <w:tcPr>
            <w:tcW w:w="712" w:type="dxa"/>
            <w:noWrap w:val="0"/>
            <w:vAlign w:val="center"/>
          </w:tcPr>
          <w:p w14:paraId="084D4B4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6</w:t>
            </w:r>
            <w:r>
              <w:rPr>
                <w:rFonts w:hint="eastAsia" w:ascii="宋体" w:hAnsi="宋体" w:eastAsia="宋体" w:cs="宋体"/>
                <w:color w:val="auto"/>
                <w:kern w:val="0"/>
                <w:sz w:val="21"/>
                <w:szCs w:val="21"/>
                <w:highlight w:val="none"/>
                <w:u w:val="none"/>
              </w:rPr>
              <w:t>分</w:t>
            </w:r>
          </w:p>
        </w:tc>
        <w:tc>
          <w:tcPr>
            <w:tcW w:w="4710" w:type="dxa"/>
            <w:noWrap w:val="0"/>
            <w:vAlign w:val="center"/>
          </w:tcPr>
          <w:p w14:paraId="798AEBC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1.投标人具有彩色生产型数码输出设备、分辨率需要达到2400x4800dpi、可以输出330.2mm*1260.0mm纸张、需要达到52-360g双面纸张的输出能力的，得2分；</w:t>
            </w:r>
          </w:p>
          <w:p w14:paraId="505AF8A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2.投标人具有黑白生产型数码输出设备、具备100张以上的输出能力、220面的扫描速度，分辨率要达到2400x4800dpi、VCSEL成像技术、需要达到350gsm纸张的输出能力、可输出300.2*700mm的涂层纸的，得2分；</w:t>
            </w:r>
          </w:p>
          <w:p w14:paraId="1107937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3.具有全自动胶装机的，得2分；</w:t>
            </w:r>
          </w:p>
          <w:p w14:paraId="38AAD5C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注：投标文件中须同时提供下列证明材料： </w:t>
            </w:r>
          </w:p>
          <w:p w14:paraId="1B123BC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（1）设备照片；</w:t>
            </w:r>
          </w:p>
          <w:p w14:paraId="41C83E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（2）设备采购合同；</w:t>
            </w:r>
          </w:p>
          <w:p w14:paraId="72A3B0C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（3）设备采购税务发票扫描件； </w:t>
            </w:r>
          </w:p>
          <w:p w14:paraId="438C0D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（4）设备能满足上述参数要求的证明材料（检测报告或产品彩页或设备官网截图等）；</w:t>
            </w:r>
          </w:p>
          <w:p w14:paraId="7AD84F4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（5）所有设备可在项目所在地供招标人现场勘察的承诺，格式自拟。</w:t>
            </w:r>
          </w:p>
        </w:tc>
      </w:tr>
      <w:tr w14:paraId="5B5C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64DF64FD">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1E8F58F1">
            <w:pPr>
              <w:snapToGrid w:val="0"/>
              <w:ind w:left="0" w:leftChars="0" w:right="0" w:rightChars="0" w:firstLine="0" w:firstLineChars="0"/>
              <w:jc w:val="center"/>
              <w:rPr>
                <w:rFonts w:hint="eastAsia" w:ascii="宋体" w:hAnsi="宋体" w:eastAsia="宋体" w:cs="宋体"/>
                <w:color w:val="auto"/>
                <w:sz w:val="21"/>
                <w:szCs w:val="21"/>
                <w:highlight w:val="none"/>
              </w:rPr>
            </w:pPr>
          </w:p>
        </w:tc>
        <w:tc>
          <w:tcPr>
            <w:tcW w:w="1584" w:type="dxa"/>
            <w:noWrap w:val="0"/>
            <w:tcMar>
              <w:left w:w="75" w:type="dxa"/>
            </w:tcMar>
            <w:vAlign w:val="center"/>
          </w:tcPr>
          <w:p w14:paraId="1D1659A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产品、部件的软件著作权证书/专利证书</w:t>
            </w:r>
          </w:p>
        </w:tc>
        <w:tc>
          <w:tcPr>
            <w:tcW w:w="712" w:type="dxa"/>
            <w:noWrap w:val="0"/>
            <w:vAlign w:val="center"/>
          </w:tcPr>
          <w:p w14:paraId="20BD001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8</w:t>
            </w:r>
            <w:r>
              <w:rPr>
                <w:rFonts w:hint="eastAsia" w:ascii="宋体" w:hAnsi="宋体" w:eastAsia="宋体" w:cs="宋体"/>
                <w:color w:val="auto"/>
                <w:kern w:val="0"/>
                <w:sz w:val="21"/>
                <w:szCs w:val="21"/>
                <w:highlight w:val="none"/>
                <w:u w:val="none"/>
              </w:rPr>
              <w:t>分</w:t>
            </w:r>
          </w:p>
        </w:tc>
        <w:tc>
          <w:tcPr>
            <w:tcW w:w="4710" w:type="dxa"/>
            <w:noWrap w:val="0"/>
            <w:vAlign w:val="center"/>
          </w:tcPr>
          <w:p w14:paraId="354098E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投标人具有印刷或广告或设计类软件著作权登记证书或专利证书的，每一个得2分，最多得8分。</w:t>
            </w:r>
          </w:p>
          <w:p w14:paraId="5D5A7C5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投标文件中须提供上述证书扫描件作为评审依据，如投标人提供专利证书，投标文件中还须提供专利登记簿扫描件,如投标人提供的专利登记簿与专利证书上记载的内容不一致的,以专利登记簿上记载的内容为准。</w:t>
            </w:r>
          </w:p>
        </w:tc>
      </w:tr>
      <w:tr w14:paraId="77C3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6D673EBE">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3271E061">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84" w:type="dxa"/>
            <w:noWrap w:val="0"/>
            <w:tcMar>
              <w:left w:w="75" w:type="dxa"/>
            </w:tcMar>
            <w:vAlign w:val="center"/>
          </w:tcPr>
          <w:p w14:paraId="1C336F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信用评价</w:t>
            </w:r>
          </w:p>
        </w:tc>
        <w:tc>
          <w:tcPr>
            <w:tcW w:w="712" w:type="dxa"/>
            <w:noWrap w:val="0"/>
            <w:vAlign w:val="center"/>
          </w:tcPr>
          <w:p w14:paraId="42331AE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p>
        </w:tc>
        <w:tc>
          <w:tcPr>
            <w:tcW w:w="4710" w:type="dxa"/>
            <w:noWrap w:val="0"/>
            <w:vAlign w:val="center"/>
          </w:tcPr>
          <w:p w14:paraId="7AFAC68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评委根据投标人提供的国家公共信用信息中心信用评价结果进行综合评分：</w:t>
            </w:r>
            <w:r>
              <w:rPr>
                <w:rFonts w:hint="eastAsia" w:ascii="宋体" w:hAnsi="宋体" w:eastAsia="宋体" w:cs="宋体"/>
                <w:b/>
                <w:bCs/>
                <w:color w:val="auto"/>
                <w:sz w:val="21"/>
                <w:szCs w:val="21"/>
                <w:highlight w:val="none"/>
                <w:lang w:val="en-US" w:eastAsia="zh-CN"/>
              </w:rPr>
              <w:t>评定为优的得3＜F≤5分，良的得2＜F≤3分，一般的1＜F≤2分。未提供的不得分。</w:t>
            </w:r>
          </w:p>
        </w:tc>
      </w:tr>
      <w:tr w14:paraId="75D23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1" w:hRule="atLeast"/>
          <w:jc w:val="center"/>
        </w:trPr>
        <w:tc>
          <w:tcPr>
            <w:tcW w:w="500" w:type="dxa"/>
            <w:vMerge w:val="continue"/>
            <w:noWrap w:val="0"/>
            <w:vAlign w:val="center"/>
          </w:tcPr>
          <w:p w14:paraId="6B0218B0">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76B4E458">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84" w:type="dxa"/>
            <w:shd w:val="clear" w:color="auto" w:fill="auto"/>
            <w:noWrap w:val="0"/>
            <w:tcMar>
              <w:left w:w="75" w:type="dxa"/>
            </w:tcMar>
            <w:vAlign w:val="center"/>
          </w:tcPr>
          <w:p w14:paraId="5EA3A20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服务承诺</w:t>
            </w:r>
          </w:p>
        </w:tc>
        <w:tc>
          <w:tcPr>
            <w:tcW w:w="712" w:type="dxa"/>
            <w:shd w:val="clear" w:color="auto" w:fill="auto"/>
            <w:noWrap w:val="0"/>
            <w:vAlign w:val="center"/>
          </w:tcPr>
          <w:p w14:paraId="2D26F36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6</w:t>
            </w:r>
            <w:r>
              <w:rPr>
                <w:rFonts w:hint="eastAsia" w:ascii="宋体" w:hAnsi="宋体" w:eastAsia="宋体" w:cs="宋体"/>
                <w:color w:val="auto"/>
                <w:kern w:val="0"/>
                <w:sz w:val="21"/>
                <w:szCs w:val="21"/>
                <w:highlight w:val="none"/>
                <w:u w:val="none"/>
              </w:rPr>
              <w:t>分</w:t>
            </w:r>
          </w:p>
        </w:tc>
        <w:tc>
          <w:tcPr>
            <w:tcW w:w="4710" w:type="dxa"/>
            <w:shd w:val="clear" w:color="auto" w:fill="auto"/>
            <w:noWrap w:val="0"/>
            <w:vAlign w:val="center"/>
          </w:tcPr>
          <w:p w14:paraId="51FF437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评委根据投标人针对本项目的各项服务承诺，以及各项服务与本项目的实际匹配程度、是否合理等内容进行综合评分。</w:t>
            </w:r>
            <w:r>
              <w:rPr>
                <w:rFonts w:hint="eastAsia" w:ascii="宋体" w:hAnsi="宋体" w:eastAsia="宋体" w:cs="宋体"/>
                <w:b/>
                <w:bCs/>
                <w:color w:val="auto"/>
                <w:sz w:val="21"/>
                <w:szCs w:val="21"/>
                <w:highlight w:val="none"/>
              </w:rPr>
              <w:t>评定为优的得4＜F≤</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分，良的得2＜F≤4分，一般的1≤F≤2分。未提供的不得分。</w:t>
            </w:r>
          </w:p>
        </w:tc>
      </w:tr>
      <w:tr w14:paraId="058A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260D2B90">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1382F642">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84" w:type="dxa"/>
            <w:noWrap w:val="0"/>
            <w:tcMar>
              <w:left w:w="75" w:type="dxa"/>
            </w:tcMar>
            <w:vAlign w:val="center"/>
          </w:tcPr>
          <w:p w14:paraId="77BC27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投标产品评价</w:t>
            </w:r>
          </w:p>
        </w:tc>
        <w:tc>
          <w:tcPr>
            <w:tcW w:w="712" w:type="dxa"/>
            <w:noWrap w:val="0"/>
            <w:vAlign w:val="center"/>
          </w:tcPr>
          <w:p w14:paraId="257DC55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none"/>
                <w:lang w:val="en-US" w:eastAsia="zh-CN"/>
              </w:rPr>
              <w:t>6分</w:t>
            </w:r>
          </w:p>
        </w:tc>
        <w:tc>
          <w:tcPr>
            <w:tcW w:w="4710" w:type="dxa"/>
            <w:noWrap w:val="0"/>
            <w:vAlign w:val="center"/>
          </w:tcPr>
          <w:p w14:paraId="6BA6A8F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投标人提供</w:t>
            </w:r>
            <w:r>
              <w:rPr>
                <w:rFonts w:hint="eastAsia" w:ascii="宋体" w:hAnsi="宋体" w:eastAsia="宋体" w:cs="宋体"/>
                <w:color w:val="auto"/>
                <w:sz w:val="21"/>
                <w:szCs w:val="21"/>
                <w:highlight w:val="none"/>
              </w:rPr>
              <w:t>宣传折页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企业文化手册</w:t>
            </w:r>
            <w:r>
              <w:rPr>
                <w:rFonts w:hint="eastAsia" w:ascii="宋体" w:hAnsi="宋体" w:eastAsia="宋体" w:cs="宋体"/>
                <w:color w:val="auto"/>
                <w:sz w:val="21"/>
                <w:szCs w:val="21"/>
                <w:highlight w:val="none"/>
                <w:lang w:val="en-US" w:eastAsia="zh-CN"/>
              </w:rPr>
              <w:t>等扫描件，根据产品是否与招标人需要相契合等方面进行综合评分。</w:t>
            </w:r>
            <w:r>
              <w:rPr>
                <w:rFonts w:hint="eastAsia" w:ascii="宋体" w:hAnsi="宋体" w:eastAsia="宋体" w:cs="宋体"/>
                <w:b/>
                <w:bCs/>
                <w:color w:val="auto"/>
                <w:sz w:val="21"/>
                <w:szCs w:val="21"/>
                <w:highlight w:val="none"/>
                <w:lang w:val="en-US" w:eastAsia="zh-CN"/>
              </w:rPr>
              <w:t>评定为优的得4</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良的得</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分，一般的</w:t>
            </w:r>
            <w:r>
              <w:rPr>
                <w:rFonts w:hint="eastAsia" w:ascii="宋体" w:hAnsi="宋体" w:eastAsia="宋体" w:cs="宋体"/>
                <w:b/>
                <w:bCs/>
                <w:color w:val="auto"/>
                <w:sz w:val="21"/>
                <w:szCs w:val="21"/>
                <w:highlight w:val="none"/>
                <w:lang w:val="en-US" w:eastAsia="zh-CN"/>
              </w:rPr>
              <w:t>得1</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分。</w:t>
            </w:r>
            <w:r>
              <w:rPr>
                <w:rFonts w:hint="eastAsia" w:ascii="宋体" w:hAnsi="宋体" w:eastAsia="宋体" w:cs="宋体"/>
                <w:b/>
                <w:bCs/>
                <w:color w:val="auto"/>
                <w:sz w:val="21"/>
                <w:szCs w:val="21"/>
                <w:highlight w:val="none"/>
                <w:lang w:val="en-US" w:eastAsia="zh-CN"/>
              </w:rPr>
              <w:t>未提供的不得分。</w:t>
            </w:r>
          </w:p>
        </w:tc>
      </w:tr>
      <w:tr w14:paraId="57A2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38A792E9">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7CE9C323">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84" w:type="dxa"/>
            <w:noWrap w:val="0"/>
            <w:tcMar>
              <w:left w:w="75" w:type="dxa"/>
            </w:tcMar>
            <w:vAlign w:val="center"/>
          </w:tcPr>
          <w:p w14:paraId="01DB238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企业实力</w:t>
            </w:r>
          </w:p>
        </w:tc>
        <w:tc>
          <w:tcPr>
            <w:tcW w:w="712" w:type="dxa"/>
            <w:noWrap w:val="0"/>
            <w:vAlign w:val="center"/>
          </w:tcPr>
          <w:p w14:paraId="4F81031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lang w:val="en-US" w:eastAsia="zh-CN"/>
              </w:rPr>
              <w:t>7</w:t>
            </w:r>
            <w:r>
              <w:rPr>
                <w:rFonts w:hint="eastAsia" w:ascii="宋体" w:hAnsi="宋体" w:eastAsia="宋体" w:cs="宋体"/>
                <w:color w:val="auto"/>
                <w:kern w:val="0"/>
                <w:sz w:val="21"/>
                <w:szCs w:val="21"/>
                <w:highlight w:val="none"/>
                <w:u w:val="none"/>
              </w:rPr>
              <w:t>分</w:t>
            </w:r>
          </w:p>
        </w:tc>
        <w:tc>
          <w:tcPr>
            <w:tcW w:w="4710" w:type="dxa"/>
            <w:noWrap w:val="0"/>
            <w:vAlign w:val="center"/>
          </w:tcPr>
          <w:p w14:paraId="4DCD210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评委会根据投标人</w:t>
            </w:r>
            <w:r>
              <w:rPr>
                <w:rFonts w:hint="eastAsia" w:ascii="宋体" w:hAnsi="宋体" w:eastAsia="宋体" w:cs="宋体"/>
                <w:color w:val="auto"/>
                <w:sz w:val="21"/>
                <w:szCs w:val="21"/>
                <w:highlight w:val="none"/>
                <w:lang w:val="en-US" w:eastAsia="zh-CN"/>
              </w:rPr>
              <w:t>提供的企业实力介绍</w:t>
            </w:r>
            <w:r>
              <w:rPr>
                <w:rFonts w:hint="eastAsia" w:ascii="宋体" w:hAnsi="宋体" w:eastAsia="宋体" w:cs="宋体"/>
                <w:color w:val="auto"/>
                <w:sz w:val="21"/>
                <w:szCs w:val="21"/>
                <w:highlight w:val="none"/>
              </w:rPr>
              <w:t>进行综合评价，</w:t>
            </w:r>
            <w:r>
              <w:rPr>
                <w:rFonts w:hint="eastAsia" w:ascii="宋体" w:hAnsi="宋体" w:eastAsia="宋体" w:cs="宋体"/>
                <w:b/>
                <w:bCs/>
                <w:color w:val="auto"/>
                <w:sz w:val="21"/>
                <w:szCs w:val="21"/>
                <w:highlight w:val="none"/>
              </w:rPr>
              <w:t>评定为优的得</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分，良的得</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分，一般的1≤F≤</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分。未提供的不得分。</w:t>
            </w:r>
          </w:p>
        </w:tc>
      </w:tr>
      <w:tr w14:paraId="6A0B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0" w:type="dxa"/>
            <w:vMerge w:val="continue"/>
            <w:noWrap w:val="0"/>
            <w:vAlign w:val="center"/>
          </w:tcPr>
          <w:p w14:paraId="6B9B2409">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56" w:type="dxa"/>
            <w:vMerge w:val="continue"/>
            <w:noWrap w:val="0"/>
            <w:vAlign w:val="center"/>
          </w:tcPr>
          <w:p w14:paraId="231A44A1">
            <w:pPr>
              <w:snapToGrid w:val="0"/>
              <w:ind w:left="0" w:leftChars="0" w:right="0" w:rightChars="0" w:firstLine="0" w:firstLineChars="0"/>
              <w:jc w:val="center"/>
              <w:rPr>
                <w:rFonts w:hint="eastAsia" w:ascii="宋体" w:hAnsi="宋体" w:eastAsia="宋体" w:cs="宋体"/>
                <w:bCs/>
                <w:color w:val="auto"/>
                <w:kern w:val="0"/>
                <w:sz w:val="21"/>
                <w:szCs w:val="21"/>
                <w:highlight w:val="none"/>
              </w:rPr>
            </w:pPr>
          </w:p>
        </w:tc>
        <w:tc>
          <w:tcPr>
            <w:tcW w:w="1584" w:type="dxa"/>
            <w:noWrap w:val="0"/>
            <w:tcMar>
              <w:left w:w="75" w:type="dxa"/>
            </w:tcMar>
            <w:vAlign w:val="center"/>
          </w:tcPr>
          <w:p w14:paraId="3D1077C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服务实施方案</w:t>
            </w:r>
          </w:p>
        </w:tc>
        <w:tc>
          <w:tcPr>
            <w:tcW w:w="712" w:type="dxa"/>
            <w:noWrap w:val="0"/>
            <w:vAlign w:val="center"/>
          </w:tcPr>
          <w:p w14:paraId="5554B0B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righ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u w:val="none"/>
              </w:rPr>
              <w:t>10分</w:t>
            </w:r>
          </w:p>
        </w:tc>
        <w:tc>
          <w:tcPr>
            <w:tcW w:w="4710" w:type="dxa"/>
            <w:noWrap w:val="0"/>
            <w:vAlign w:val="center"/>
          </w:tcPr>
          <w:p w14:paraId="1B08A31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评委根据投标人提供的服务方案是否与招标人需要相契合等方面进行综合评分。</w:t>
            </w:r>
            <w:r>
              <w:rPr>
                <w:rFonts w:hint="eastAsia" w:ascii="宋体" w:hAnsi="宋体" w:eastAsia="宋体" w:cs="宋体"/>
                <w:b/>
                <w:bCs/>
                <w:color w:val="auto"/>
                <w:sz w:val="21"/>
                <w:szCs w:val="21"/>
                <w:highlight w:val="none"/>
              </w:rPr>
              <w:t>评定为优的得</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＜F≤10分，良的得</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＜F≤</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分，一般的1≤F≤</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分。未提供的不得分</w:t>
            </w:r>
            <w:r>
              <w:rPr>
                <w:rFonts w:hint="eastAsia" w:ascii="宋体" w:hAnsi="宋体" w:eastAsia="宋体" w:cs="宋体"/>
                <w:b/>
                <w:bCs/>
                <w:color w:val="auto"/>
                <w:sz w:val="21"/>
                <w:szCs w:val="21"/>
                <w:highlight w:val="none"/>
                <w:lang w:eastAsia="zh-CN"/>
              </w:rPr>
              <w:t>。</w:t>
            </w:r>
          </w:p>
        </w:tc>
      </w:tr>
      <w:tr w14:paraId="792E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1" w:hRule="atLeast"/>
          <w:jc w:val="center"/>
        </w:trPr>
        <w:tc>
          <w:tcPr>
            <w:tcW w:w="500" w:type="dxa"/>
            <w:shd w:val="clear" w:color="auto" w:fill="auto"/>
            <w:noWrap w:val="0"/>
            <w:vAlign w:val="center"/>
          </w:tcPr>
          <w:p w14:paraId="28988ACC">
            <w:pPr>
              <w:jc w:val="center"/>
              <w:rPr>
                <w:rFonts w:hint="eastAsia" w:ascii="Calibri" w:hAnsi="Calibri" w:eastAsia="宋体" w:cs="Times New Roman"/>
                <w:color w:val="auto"/>
                <w:kern w:val="2"/>
                <w:sz w:val="21"/>
                <w:szCs w:val="24"/>
                <w:highlight w:val="none"/>
                <w:lang w:val="en-US" w:eastAsia="zh-CN" w:bidi="ar-SA"/>
              </w:rPr>
            </w:pPr>
            <w:r>
              <w:rPr>
                <w:rFonts w:hint="eastAsia"/>
                <w:color w:val="auto"/>
                <w:highlight w:val="none"/>
                <w:lang w:val="en-US" w:eastAsia="zh-CN"/>
              </w:rPr>
              <w:t>2、</w:t>
            </w:r>
          </w:p>
        </w:tc>
        <w:tc>
          <w:tcPr>
            <w:tcW w:w="1556" w:type="dxa"/>
            <w:shd w:val="clear" w:color="auto" w:fill="auto"/>
            <w:noWrap w:val="0"/>
            <w:vAlign w:val="center"/>
          </w:tcPr>
          <w:p w14:paraId="73C621C8">
            <w:pPr>
              <w:jc w:val="center"/>
              <w:rPr>
                <w:rFonts w:hint="eastAsia" w:ascii="Calibri" w:hAnsi="Calibri" w:eastAsia="宋体" w:cs="Times New Roman"/>
                <w:color w:val="auto"/>
                <w:kern w:val="2"/>
                <w:sz w:val="21"/>
                <w:szCs w:val="24"/>
                <w:highlight w:val="none"/>
                <w:lang w:val="en-US" w:eastAsia="zh-CN" w:bidi="ar-SA"/>
              </w:rPr>
            </w:pPr>
            <w:r>
              <w:rPr>
                <w:color w:val="auto"/>
                <w:highlight w:val="none"/>
              </w:rPr>
              <w:t>报价</w:t>
            </w:r>
            <w:r>
              <w:rPr>
                <w:rFonts w:hint="eastAsia"/>
                <w:color w:val="auto"/>
                <w:highlight w:val="none"/>
                <w:lang w:val="en-US" w:eastAsia="zh-CN"/>
              </w:rPr>
              <w:t>部分</w:t>
            </w:r>
          </w:p>
        </w:tc>
        <w:tc>
          <w:tcPr>
            <w:tcW w:w="1584" w:type="dxa"/>
            <w:shd w:val="clear" w:color="auto" w:fill="auto"/>
            <w:noWrap w:val="0"/>
            <w:tcMar>
              <w:left w:w="75" w:type="dxa"/>
            </w:tcMar>
            <w:vAlign w:val="center"/>
          </w:tcPr>
          <w:p w14:paraId="5BD892B4">
            <w:pPr>
              <w:snapToGrid w:val="0"/>
              <w:jc w:val="center"/>
              <w:rPr>
                <w:rFonts w:hint="eastAsia" w:ascii="Calibri" w:hAnsi="Calibri" w:eastAsia="宋体" w:cs="Times New Roman"/>
                <w:color w:val="auto"/>
                <w:kern w:val="2"/>
                <w:sz w:val="21"/>
                <w:szCs w:val="24"/>
                <w:highlight w:val="none"/>
                <w:lang w:val="en-US" w:eastAsia="zh-CN" w:bidi="ar-SA"/>
              </w:rPr>
            </w:pPr>
            <w:r>
              <w:rPr>
                <w:rFonts w:hint="eastAsia"/>
                <w:color w:val="auto"/>
                <w:highlight w:val="none"/>
              </w:rPr>
              <w:t>价格分</w:t>
            </w:r>
          </w:p>
        </w:tc>
        <w:tc>
          <w:tcPr>
            <w:tcW w:w="712" w:type="dxa"/>
            <w:shd w:val="clear" w:color="auto" w:fill="auto"/>
            <w:noWrap w:val="0"/>
            <w:vAlign w:val="center"/>
          </w:tcPr>
          <w:p w14:paraId="12223921">
            <w:pPr>
              <w:widowControl/>
              <w:snapToGrid w:val="0"/>
              <w:jc w:val="center"/>
              <w:rPr>
                <w:rFonts w:hint="eastAsia" w:ascii="Calibri" w:hAnsi="Calibri" w:eastAsia="宋体" w:cs="Times New Roman"/>
                <w:color w:val="auto"/>
                <w:kern w:val="0"/>
                <w:sz w:val="21"/>
                <w:szCs w:val="21"/>
                <w:highlight w:val="none"/>
                <w:lang w:val="en-US" w:eastAsia="zh-CN" w:bidi="ar-SA"/>
              </w:rPr>
            </w:pPr>
            <w:r>
              <w:rPr>
                <w:rFonts w:hint="eastAsia"/>
                <w:color w:val="auto"/>
                <w:kern w:val="0"/>
                <w:szCs w:val="21"/>
                <w:highlight w:val="none"/>
                <w:lang w:val="en-US" w:eastAsia="zh-CN"/>
              </w:rPr>
              <w:t>40</w:t>
            </w:r>
            <w:r>
              <w:rPr>
                <w:rFonts w:hint="eastAsia"/>
                <w:color w:val="auto"/>
                <w:kern w:val="0"/>
                <w:szCs w:val="21"/>
                <w:highlight w:val="none"/>
              </w:rPr>
              <w:t>分</w:t>
            </w:r>
          </w:p>
        </w:tc>
        <w:tc>
          <w:tcPr>
            <w:tcW w:w="4710" w:type="dxa"/>
            <w:shd w:val="clear" w:color="auto" w:fill="auto"/>
            <w:noWrap w:val="0"/>
            <w:vAlign w:val="center"/>
          </w:tcPr>
          <w:p w14:paraId="435AFB76">
            <w:pPr>
              <w:autoSpaceDE w:val="0"/>
              <w:autoSpaceDN w:val="0"/>
              <w:adjustRightInd w:val="0"/>
              <w:snapToGrid w:val="0"/>
              <w:jc w:val="left"/>
              <w:rPr>
                <w:rFonts w:hint="eastAsia" w:ascii="Calibri" w:hAnsi="Calibri" w:eastAsia="宋体" w:cs="Times New Roman"/>
                <w:color w:val="auto"/>
                <w:spacing w:val="-2"/>
                <w:kern w:val="2"/>
                <w:sz w:val="21"/>
                <w:szCs w:val="21"/>
                <w:highlight w:val="none"/>
                <w:lang w:val="en-US" w:eastAsia="zh-CN" w:bidi="ar-SA"/>
              </w:rPr>
            </w:pPr>
            <w:r>
              <w:rPr>
                <w:rFonts w:hint="eastAsia" w:ascii="宋体" w:hAnsi="宋体" w:eastAsia="宋体" w:cs="宋体"/>
                <w:color w:val="auto"/>
                <w:sz w:val="21"/>
                <w:szCs w:val="21"/>
                <w:highlight w:val="none"/>
              </w:rPr>
              <w:t>响应报价不得超过最高限价，否则作无效响应处理；通过初步评审的响应报价参与报价评审。满足</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要求且报价最低的为评审基准价，其价格分为满分，其他响应报价得分统一按照下列公式计算：响应报价得分=（基准价/响应报价）×</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w:t>
            </w:r>
          </w:p>
        </w:tc>
      </w:tr>
    </w:tbl>
    <w:p w14:paraId="24053AF2">
      <w:pPr>
        <w:spacing w:line="540" w:lineRule="exact"/>
        <w:ind w:firstLine="437"/>
        <w:rPr>
          <w:rFonts w:hint="default"/>
          <w:szCs w:val="21"/>
          <w:lang w:val="en-US" w:eastAsia="zh-CN"/>
        </w:rPr>
      </w:pPr>
    </w:p>
    <w:p w14:paraId="7281DD35">
      <w:pPr>
        <w:spacing w:line="540" w:lineRule="exact"/>
        <w:ind w:firstLine="437"/>
        <w:rPr>
          <w:rFonts w:hint="eastAsia"/>
          <w:szCs w:val="21"/>
        </w:rPr>
      </w:pPr>
    </w:p>
    <w:p w14:paraId="7D42395A">
      <w:pPr>
        <w:numPr>
          <w:ilvl w:val="0"/>
          <w:numId w:val="0"/>
        </w:numPr>
        <w:spacing w:line="520" w:lineRule="exact"/>
        <w:jc w:val="both"/>
        <w:rPr>
          <w:rFonts w:hint="eastAsia" w:eastAsia="黑体"/>
          <w:b/>
          <w:sz w:val="32"/>
          <w:szCs w:val="40"/>
          <w:highlight w:val="none"/>
          <w:lang w:val="en-US" w:eastAsia="zh-CN"/>
        </w:rPr>
      </w:pPr>
    </w:p>
    <w:p w14:paraId="741B7FD3"/>
    <w:p w14:paraId="162C3FCD">
      <w:bookmarkStart w:id="0" w:name="_GoBack"/>
      <w:bookmarkEnd w:id="0"/>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AB448">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3D54B9">
                          <w:pPr>
                            <w:pStyle w:val="5"/>
                            <w:rPr>
                              <w:rFonts w:hint="eastAsia" w:ascii="仿宋_GB2312" w:hAnsi="仿宋_GB2312" w:eastAsia="仿宋_GB2312" w:cs="仿宋_GB2312"/>
                              <w:sz w:val="32"/>
                              <w:szCs w:val="48"/>
                            </w:rPr>
                          </w:pPr>
                          <w:r>
                            <w:rPr>
                              <w:rFonts w:hint="eastAsia" w:ascii="仿宋_GB2312" w:hAnsi="仿宋_GB2312" w:eastAsia="仿宋_GB2312" w:cs="仿宋_GB2312"/>
                              <w:sz w:val="32"/>
                              <w:szCs w:val="48"/>
                            </w:rPr>
                            <w:t xml:space="preserve">— </w:t>
                          </w:r>
                          <w:r>
                            <w:rPr>
                              <w:rFonts w:hint="eastAsia" w:ascii="仿宋_GB2312" w:hAnsi="仿宋_GB2312" w:eastAsia="仿宋_GB2312" w:cs="仿宋_GB2312"/>
                              <w:sz w:val="32"/>
                              <w:szCs w:val="48"/>
                            </w:rPr>
                            <w:fldChar w:fldCharType="begin"/>
                          </w:r>
                          <w:r>
                            <w:rPr>
                              <w:rFonts w:hint="eastAsia" w:ascii="仿宋_GB2312" w:hAnsi="仿宋_GB2312" w:eastAsia="仿宋_GB2312" w:cs="仿宋_GB2312"/>
                              <w:sz w:val="32"/>
                              <w:szCs w:val="48"/>
                            </w:rPr>
                            <w:instrText xml:space="preserve"> PAGE  \* MERGEFORMAT </w:instrText>
                          </w:r>
                          <w:r>
                            <w:rPr>
                              <w:rFonts w:hint="eastAsia" w:ascii="仿宋_GB2312" w:hAnsi="仿宋_GB2312" w:eastAsia="仿宋_GB2312" w:cs="仿宋_GB2312"/>
                              <w:sz w:val="32"/>
                              <w:szCs w:val="48"/>
                            </w:rPr>
                            <w:fldChar w:fldCharType="separate"/>
                          </w:r>
                          <w:r>
                            <w:rPr>
                              <w:rFonts w:hint="eastAsia" w:ascii="仿宋_GB2312" w:hAnsi="仿宋_GB2312" w:eastAsia="仿宋_GB2312" w:cs="仿宋_GB2312"/>
                              <w:sz w:val="32"/>
                              <w:szCs w:val="48"/>
                            </w:rPr>
                            <w:t>1</w:t>
                          </w:r>
                          <w:r>
                            <w:rPr>
                              <w:rFonts w:hint="eastAsia" w:ascii="仿宋_GB2312" w:hAnsi="仿宋_GB2312" w:eastAsia="仿宋_GB2312" w:cs="仿宋_GB2312"/>
                              <w:sz w:val="32"/>
                              <w:szCs w:val="48"/>
                            </w:rPr>
                            <w:fldChar w:fldCharType="end"/>
                          </w:r>
                          <w:r>
                            <w:rPr>
                              <w:rFonts w:hint="eastAsia" w:ascii="仿宋_GB2312" w:hAnsi="仿宋_GB2312" w:eastAsia="仿宋_GB2312" w:cs="仿宋_GB2312"/>
                              <w:sz w:val="32"/>
                              <w:szCs w:val="48"/>
                            </w:rPr>
                            <w:t xml:space="preserve"> —</w:t>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EREUCndAQAAvgMAAA4AAAAAAAAA&#10;AQAgAAAAHgEAAGRycy9lMm9Eb2MueG1sUEsFBgAAAAAGAAYAWQEAAG0FAAAAAA==&#10;">
              <v:fill on="f" focussize="0,0"/>
              <v:stroke on="f"/>
              <v:imagedata o:title=""/>
              <o:lock v:ext="edit" aspectratio="f"/>
              <v:textbox inset="0mm,0mm,0mm,0mm" style="mso-fit-shape-to-text:t;">
                <w:txbxContent>
                  <w:p w14:paraId="593D54B9">
                    <w:pPr>
                      <w:pStyle w:val="5"/>
                      <w:rPr>
                        <w:rFonts w:hint="eastAsia" w:ascii="仿宋_GB2312" w:hAnsi="仿宋_GB2312" w:eastAsia="仿宋_GB2312" w:cs="仿宋_GB2312"/>
                        <w:sz w:val="32"/>
                        <w:szCs w:val="48"/>
                      </w:rPr>
                    </w:pPr>
                    <w:r>
                      <w:rPr>
                        <w:rFonts w:hint="eastAsia" w:ascii="仿宋_GB2312" w:hAnsi="仿宋_GB2312" w:eastAsia="仿宋_GB2312" w:cs="仿宋_GB2312"/>
                        <w:sz w:val="32"/>
                        <w:szCs w:val="48"/>
                      </w:rPr>
                      <w:t xml:space="preserve">— </w:t>
                    </w:r>
                    <w:r>
                      <w:rPr>
                        <w:rFonts w:hint="eastAsia" w:ascii="仿宋_GB2312" w:hAnsi="仿宋_GB2312" w:eastAsia="仿宋_GB2312" w:cs="仿宋_GB2312"/>
                        <w:sz w:val="32"/>
                        <w:szCs w:val="48"/>
                      </w:rPr>
                      <w:fldChar w:fldCharType="begin"/>
                    </w:r>
                    <w:r>
                      <w:rPr>
                        <w:rFonts w:hint="eastAsia" w:ascii="仿宋_GB2312" w:hAnsi="仿宋_GB2312" w:eastAsia="仿宋_GB2312" w:cs="仿宋_GB2312"/>
                        <w:sz w:val="32"/>
                        <w:szCs w:val="48"/>
                      </w:rPr>
                      <w:instrText xml:space="preserve"> PAGE  \* MERGEFORMAT </w:instrText>
                    </w:r>
                    <w:r>
                      <w:rPr>
                        <w:rFonts w:hint="eastAsia" w:ascii="仿宋_GB2312" w:hAnsi="仿宋_GB2312" w:eastAsia="仿宋_GB2312" w:cs="仿宋_GB2312"/>
                        <w:sz w:val="32"/>
                        <w:szCs w:val="48"/>
                      </w:rPr>
                      <w:fldChar w:fldCharType="separate"/>
                    </w:r>
                    <w:r>
                      <w:rPr>
                        <w:rFonts w:hint="eastAsia" w:ascii="仿宋_GB2312" w:hAnsi="仿宋_GB2312" w:eastAsia="仿宋_GB2312" w:cs="仿宋_GB2312"/>
                        <w:sz w:val="32"/>
                        <w:szCs w:val="48"/>
                      </w:rPr>
                      <w:t>1</w:t>
                    </w:r>
                    <w:r>
                      <w:rPr>
                        <w:rFonts w:hint="eastAsia" w:ascii="仿宋_GB2312" w:hAnsi="仿宋_GB2312" w:eastAsia="仿宋_GB2312" w:cs="仿宋_GB2312"/>
                        <w:sz w:val="32"/>
                        <w:szCs w:val="48"/>
                      </w:rPr>
                      <w:fldChar w:fldCharType="end"/>
                    </w:r>
                    <w:r>
                      <w:rPr>
                        <w:rFonts w:hint="eastAsia" w:ascii="仿宋_GB2312" w:hAnsi="仿宋_GB2312" w:eastAsia="仿宋_GB2312" w:cs="仿宋_GB2312"/>
                        <w:sz w:val="32"/>
                        <w:szCs w:val="4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A6D0C6"/>
    <w:multiLevelType w:val="singleLevel"/>
    <w:tmpl w:val="34A6D0C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8F7EDB"/>
    <w:rsid w:val="61C01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3"/>
    <w:qFormat/>
    <w:uiPriority w:val="1"/>
    <w:pPr>
      <w:outlineLvl w:val="0"/>
    </w:pPr>
    <w:rPr>
      <w:rFonts w:ascii="Microsoft JhengHei" w:hAnsi="Microsoft JhengHei" w:eastAsia="Microsoft JhengHei"/>
      <w:sz w:val="44"/>
      <w:szCs w:val="44"/>
    </w:rPr>
  </w:style>
  <w:style w:type="paragraph" w:styleId="3">
    <w:name w:val="heading 7"/>
    <w:basedOn w:val="1"/>
    <w:qFormat/>
    <w:uiPriority w:val="1"/>
    <w:pPr>
      <w:ind w:left="560"/>
      <w:outlineLvl w:val="6"/>
    </w:pPr>
    <w:rPr>
      <w:rFonts w:ascii="Microsoft JhengHei" w:hAnsi="Microsoft JhengHei" w:eastAsia="Microsoft JhengHei"/>
      <w:b/>
      <w:bCs/>
      <w:sz w:val="21"/>
      <w:szCs w:val="21"/>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adjustRightInd w:val="0"/>
      <w:spacing w:line="360" w:lineRule="atLeast"/>
      <w:jc w:val="left"/>
      <w:textAlignment w:val="baseline"/>
    </w:pPr>
    <w:rPr>
      <w:kern w:val="0"/>
      <w:sz w:val="24"/>
      <w:szCs w:val="20"/>
    </w:rPr>
  </w:style>
  <w:style w:type="paragraph" w:styleId="5">
    <w:name w:val="footer"/>
    <w:basedOn w:val="1"/>
    <w:qFormat/>
    <w:uiPriority w:val="0"/>
    <w:pPr>
      <w:tabs>
        <w:tab w:val="center" w:pos="4153"/>
        <w:tab w:val="right" w:pos="8306"/>
      </w:tabs>
      <w:snapToGrid w:val="0"/>
      <w:jc w:val="left"/>
    </w:pPr>
    <w:rPr>
      <w:sz w:val="18"/>
    </w:r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2025-05-13T07:51:00Z</dcterms:created>
  <dc:creator>admin</dc:creator>
  <cp:lastModifiedBy>孙小飞</cp:lastModifiedBy>
  <dcterms:modified xsi:type="dcterms:W3CDTF">2025-11-11T06:37:51Z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1BFBD7B045D543B4B874C8314F66AD6A_12</vt:lpwstr>
  </property>
  <property fmtid="{D5CDD505-2E9C-101B-9397-08002B2CF9AE}" pid="4" name="KSOTemplateDocerSaveRecord">
    <vt:lpwstr>eyJoZGlkIjoiODU0NjBlOTgwZDEzODI2YmI0Mzg3YmZiYzk2OTQ4YTAiLCJ1c2VySWQiOiIxNzcwMTY0OTA4In0=</vt:lpwstr>
  </property>
</Properties>
</file>