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0B71BC">
      <w:pPr>
        <w:autoSpaceDE w:val="0"/>
        <w:autoSpaceDN w:val="0"/>
        <w:spacing w:line="540" w:lineRule="exact"/>
        <w:jc w:val="both"/>
        <w:rPr>
          <w:rFonts w:hint="default" w:ascii="方正公文小标宋" w:hAnsi="方正公文小标宋" w:eastAsia="方正公文小标宋" w:cs="方正公文小标宋"/>
          <w:sz w:val="44"/>
          <w:szCs w:val="44"/>
          <w:lang w:val="en-US"/>
        </w:rPr>
      </w:pPr>
      <w:r>
        <w:rPr>
          <w:rFonts w:hint="eastAsia" w:ascii="黑体" w:hAnsi="黑体" w:eastAsia="黑体" w:cs="黑体"/>
          <w:sz w:val="32"/>
          <w:szCs w:val="32"/>
          <w:lang w:val="en-US" w:eastAsia="zh-CN"/>
        </w:rPr>
        <w:t>附件1</w:t>
      </w:r>
    </w:p>
    <w:p w14:paraId="0511DFA8">
      <w:pPr>
        <w:spacing w:line="360" w:lineRule="auto"/>
        <w:jc w:val="center"/>
        <w:rPr>
          <w:rFonts w:hint="eastAsia" w:ascii="方正公文小标宋" w:hAnsi="方正公文小标宋" w:eastAsia="方正公文小标宋" w:cs="方正公文小标宋"/>
          <w:sz w:val="44"/>
          <w:szCs w:val="44"/>
        </w:rPr>
      </w:pPr>
    </w:p>
    <w:p w14:paraId="478A5426">
      <w:pPr>
        <w:spacing w:line="560" w:lineRule="exact"/>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sz w:val="44"/>
          <w:szCs w:val="44"/>
        </w:rPr>
        <w:t>合肥市引江济淮投资有限公司微信公众号日常运维服务</w:t>
      </w:r>
      <w:r>
        <w:rPr>
          <w:rFonts w:hint="eastAsia" w:ascii="方正小标宋简体" w:hAnsi="方正小标宋简体" w:eastAsia="方正小标宋简体" w:cs="方正小标宋简体"/>
          <w:b w:val="0"/>
          <w:bCs w:val="0"/>
          <w:sz w:val="44"/>
          <w:szCs w:val="44"/>
          <w:lang w:val="en-US" w:eastAsia="zh-CN"/>
        </w:rPr>
        <w:t>评分</w:t>
      </w:r>
      <w:bookmarkStart w:id="0" w:name="_GoBack"/>
      <w:bookmarkEnd w:id="0"/>
      <w:r>
        <w:rPr>
          <w:rFonts w:hint="eastAsia" w:ascii="方正小标宋简体" w:hAnsi="方正小标宋简体" w:eastAsia="方正小标宋简体" w:cs="方正小标宋简体"/>
          <w:b w:val="0"/>
          <w:bCs w:val="0"/>
          <w:sz w:val="44"/>
          <w:szCs w:val="44"/>
          <w:lang w:val="en-US" w:eastAsia="zh-CN"/>
        </w:rPr>
        <w:t>细则</w:t>
      </w:r>
    </w:p>
    <w:p w14:paraId="08A2AF32">
      <w:pPr>
        <w:spacing w:line="360" w:lineRule="auto"/>
        <w:jc w:val="center"/>
        <w:rPr>
          <w:rFonts w:ascii="宋体" w:hAnsi="宋体" w:eastAsia="宋体"/>
          <w:b/>
          <w:bCs/>
          <w:sz w:val="24"/>
          <w:szCs w:val="24"/>
        </w:rPr>
      </w:pPr>
    </w:p>
    <w:p w14:paraId="7A4FA757">
      <w:pPr>
        <w:autoSpaceDE w:val="0"/>
        <w:autoSpaceDN w:val="0"/>
        <w:adjustRightInd w:val="0"/>
        <w:jc w:val="left"/>
        <w:rPr>
          <w:rFonts w:ascii="宋体" w:eastAsia="宋体" w:cs="宋体" w:hAnsiTheme="minorHAnsi"/>
          <w:kern w:val="0"/>
          <w:sz w:val="24"/>
          <w:szCs w:val="24"/>
        </w:rPr>
      </w:pPr>
      <w:r>
        <w:rPr>
          <w:rFonts w:ascii="宋体" w:eastAsia="宋体" w:cs="宋体" w:hAnsiTheme="minorHAnsi"/>
          <w:kern w:val="0"/>
          <w:sz w:val="24"/>
          <w:szCs w:val="24"/>
        </w:rPr>
        <w:t>1</w:t>
      </w:r>
      <w:r>
        <w:rPr>
          <w:rFonts w:hint="eastAsia" w:ascii="宋体" w:eastAsia="宋体" w:cs="宋体" w:hAnsiTheme="minorHAnsi"/>
          <w:kern w:val="0"/>
          <w:sz w:val="24"/>
          <w:szCs w:val="24"/>
          <w:lang w:val="en-US" w:eastAsia="zh-CN"/>
        </w:rPr>
        <w:t xml:space="preserve">.0 </w:t>
      </w:r>
      <w:r>
        <w:rPr>
          <w:rFonts w:hint="eastAsia" w:ascii="宋体" w:eastAsia="宋体" w:cs="宋体" w:hAnsiTheme="minorHAnsi"/>
          <w:kern w:val="0"/>
          <w:sz w:val="24"/>
          <w:szCs w:val="24"/>
        </w:rPr>
        <w:t>综合评分</w:t>
      </w:r>
    </w:p>
    <w:p w14:paraId="57949510">
      <w:pPr>
        <w:autoSpaceDE w:val="0"/>
        <w:autoSpaceDN w:val="0"/>
        <w:adjustRightInd w:val="0"/>
        <w:jc w:val="left"/>
        <w:rPr>
          <w:rFonts w:ascii="宋体" w:eastAsia="宋体" w:cs="宋体" w:hAnsiTheme="minorHAnsi"/>
          <w:kern w:val="0"/>
          <w:sz w:val="24"/>
          <w:szCs w:val="24"/>
        </w:rPr>
      </w:pPr>
      <w:r>
        <w:rPr>
          <w:rFonts w:ascii="宋体" w:eastAsia="宋体" w:cs="宋体" w:hAnsiTheme="minorHAnsi"/>
          <w:kern w:val="0"/>
          <w:sz w:val="24"/>
          <w:szCs w:val="24"/>
        </w:rPr>
        <w:t xml:space="preserve">1.1 </w:t>
      </w:r>
      <w:r>
        <w:rPr>
          <w:rFonts w:hint="eastAsia" w:ascii="宋体" w:eastAsia="宋体" w:cs="宋体" w:hAnsiTheme="minorHAnsi"/>
          <w:kern w:val="0"/>
          <w:sz w:val="24"/>
          <w:szCs w:val="24"/>
        </w:rPr>
        <w:t>磋商小组按照下表对进入综合评分的所有供应商的响应文件进行综合评分。</w:t>
      </w:r>
    </w:p>
    <w:p w14:paraId="5FC828F4">
      <w:pPr>
        <w:autoSpaceDE w:val="0"/>
        <w:autoSpaceDN w:val="0"/>
        <w:adjustRightInd w:val="0"/>
        <w:jc w:val="left"/>
        <w:rPr>
          <w:rFonts w:asciiTheme="minorEastAsia" w:hAnsiTheme="minorEastAsia" w:eastAsiaTheme="minorEastAsia"/>
          <w:sz w:val="24"/>
        </w:rPr>
      </w:pPr>
      <w:r>
        <w:rPr>
          <w:rFonts w:ascii="宋体" w:eastAsia="宋体" w:cs="宋体" w:hAnsiTheme="minorHAnsi"/>
          <w:kern w:val="0"/>
          <w:sz w:val="24"/>
          <w:szCs w:val="24"/>
        </w:rPr>
        <w:t xml:space="preserve">1.2 </w:t>
      </w:r>
      <w:r>
        <w:rPr>
          <w:rFonts w:hint="eastAsia" w:ascii="宋体" w:eastAsia="宋体" w:cs="宋体" w:hAnsiTheme="minorHAnsi"/>
          <w:kern w:val="0"/>
          <w:sz w:val="24"/>
          <w:szCs w:val="24"/>
        </w:rPr>
        <w:t>本项目综合评分满分为</w:t>
      </w:r>
      <w:r>
        <w:rPr>
          <w:rFonts w:ascii="宋体" w:eastAsia="宋体" w:cs="宋体" w:hAnsiTheme="minorHAnsi"/>
          <w:kern w:val="0"/>
          <w:sz w:val="24"/>
          <w:szCs w:val="24"/>
        </w:rPr>
        <w:t xml:space="preserve">100 </w:t>
      </w:r>
      <w:r>
        <w:rPr>
          <w:rFonts w:hint="eastAsia" w:ascii="宋体" w:eastAsia="宋体" w:cs="宋体" w:hAnsiTheme="minorHAnsi"/>
          <w:kern w:val="0"/>
          <w:sz w:val="24"/>
          <w:szCs w:val="24"/>
        </w:rPr>
        <w:t>分，其中：技术资信分值占总分值的权重为</w:t>
      </w:r>
      <w:r>
        <w:rPr>
          <w:rFonts w:ascii="宋体" w:eastAsia="宋体" w:cs="宋体" w:hAnsiTheme="minorHAnsi"/>
          <w:kern w:val="0"/>
          <w:sz w:val="24"/>
          <w:szCs w:val="24"/>
        </w:rPr>
        <w:t>90%</w:t>
      </w:r>
      <w:r>
        <w:rPr>
          <w:rFonts w:hint="eastAsia" w:ascii="宋体" w:eastAsia="宋体" w:cs="宋体" w:hAnsiTheme="minorHAnsi"/>
          <w:kern w:val="0"/>
          <w:sz w:val="24"/>
          <w:szCs w:val="24"/>
        </w:rPr>
        <w:t>，价格分值占总分值的权重为</w:t>
      </w:r>
      <w:r>
        <w:rPr>
          <w:rFonts w:ascii="宋体" w:eastAsia="宋体" w:cs="宋体" w:hAnsiTheme="minorHAnsi"/>
          <w:kern w:val="0"/>
          <w:sz w:val="24"/>
          <w:szCs w:val="24"/>
        </w:rPr>
        <w:t>10%</w:t>
      </w:r>
      <w:r>
        <w:rPr>
          <w:rFonts w:hint="eastAsia" w:ascii="宋体" w:eastAsia="宋体" w:cs="宋体" w:hAnsiTheme="minorHAnsi"/>
          <w:kern w:val="0"/>
          <w:sz w:val="24"/>
          <w:szCs w:val="24"/>
        </w:rPr>
        <w:t>。具体评分细则如下：</w:t>
      </w:r>
    </w:p>
    <w:p w14:paraId="25275DCB">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本项目综合评分满分为1</w:t>
      </w:r>
      <w:r>
        <w:rPr>
          <w:rFonts w:asciiTheme="minorEastAsia" w:hAnsiTheme="minorEastAsia" w:eastAsiaTheme="minorEastAsia"/>
          <w:sz w:val="24"/>
        </w:rPr>
        <w:t>00</w:t>
      </w:r>
      <w:r>
        <w:rPr>
          <w:rFonts w:hint="eastAsia" w:asciiTheme="minorEastAsia" w:hAnsiTheme="minorEastAsia" w:eastAsiaTheme="minorEastAsia"/>
          <w:sz w:val="24"/>
        </w:rPr>
        <w:t>分，其中：技术资信分值占总分值的权重为</w:t>
      </w:r>
      <w:r>
        <w:rPr>
          <w:rFonts w:hint="eastAsia" w:asciiTheme="minorEastAsia" w:hAnsiTheme="minorEastAsia" w:eastAsiaTheme="minorEastAsia"/>
          <w:sz w:val="24"/>
          <w:u w:val="single"/>
        </w:rPr>
        <w:t>90</w:t>
      </w:r>
      <w:r>
        <w:rPr>
          <w:rFonts w:asciiTheme="minorEastAsia" w:hAnsiTheme="minorEastAsia" w:eastAsiaTheme="minorEastAsia"/>
          <w:sz w:val="24"/>
        </w:rPr>
        <w:t>%，价格分值占总分值的权重为</w:t>
      </w:r>
      <w:r>
        <w:rPr>
          <w:rFonts w:hint="eastAsia" w:asciiTheme="minorEastAsia" w:hAnsiTheme="minorEastAsia" w:eastAsiaTheme="minorEastAsia"/>
          <w:sz w:val="24"/>
          <w:u w:val="single"/>
        </w:rPr>
        <w:t>10</w:t>
      </w:r>
      <w:r>
        <w:rPr>
          <w:rFonts w:asciiTheme="minorEastAsia" w:hAnsiTheme="minorEastAsia" w:eastAsiaTheme="minorEastAsia"/>
          <w:sz w:val="24"/>
        </w:rPr>
        <w:t>%。具体评分细则如下：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8"/>
        <w:gridCol w:w="1266"/>
        <w:gridCol w:w="4755"/>
        <w:gridCol w:w="1023"/>
      </w:tblGrid>
      <w:tr w14:paraId="2B31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478" w:type="dxa"/>
            <w:tcBorders>
              <w:top w:val="single" w:color="auto" w:sz="4" w:space="0"/>
              <w:left w:val="single" w:color="auto" w:sz="4" w:space="0"/>
              <w:bottom w:val="single" w:color="auto" w:sz="4" w:space="0"/>
              <w:right w:val="single" w:color="auto" w:sz="4" w:space="0"/>
            </w:tcBorders>
            <w:vAlign w:val="center"/>
          </w:tcPr>
          <w:p w14:paraId="754A4AE9">
            <w:pPr>
              <w:spacing w:line="360" w:lineRule="auto"/>
              <w:jc w:val="center"/>
              <w:rPr>
                <w:rFonts w:ascii="宋体" w:hAnsi="宋体" w:eastAsia="宋体"/>
                <w:b/>
                <w:bCs/>
                <w:sz w:val="24"/>
              </w:rPr>
            </w:pPr>
            <w:r>
              <w:rPr>
                <w:rFonts w:hint="eastAsia" w:ascii="宋体" w:hAnsi="宋体" w:eastAsia="宋体"/>
                <w:b/>
                <w:bCs/>
                <w:sz w:val="24"/>
              </w:rPr>
              <w:t>类别</w:t>
            </w:r>
          </w:p>
        </w:tc>
        <w:tc>
          <w:tcPr>
            <w:tcW w:w="1266" w:type="dxa"/>
            <w:tcBorders>
              <w:top w:val="single" w:color="auto" w:sz="4" w:space="0"/>
              <w:left w:val="single" w:color="auto" w:sz="4" w:space="0"/>
              <w:bottom w:val="single" w:color="auto" w:sz="4" w:space="0"/>
              <w:right w:val="single" w:color="auto" w:sz="4" w:space="0"/>
            </w:tcBorders>
            <w:vAlign w:val="center"/>
          </w:tcPr>
          <w:p w14:paraId="6565A8C3">
            <w:pPr>
              <w:spacing w:line="360" w:lineRule="auto"/>
              <w:jc w:val="center"/>
              <w:rPr>
                <w:rFonts w:ascii="宋体" w:hAnsi="宋体" w:eastAsia="宋体"/>
                <w:b/>
                <w:bCs/>
                <w:sz w:val="24"/>
              </w:rPr>
            </w:pPr>
            <w:r>
              <w:rPr>
                <w:rFonts w:hint="eastAsia" w:ascii="宋体" w:hAnsi="宋体" w:eastAsia="宋体"/>
                <w:b/>
                <w:bCs/>
                <w:sz w:val="24"/>
              </w:rPr>
              <w:t>评分内容</w:t>
            </w:r>
          </w:p>
        </w:tc>
        <w:tc>
          <w:tcPr>
            <w:tcW w:w="4755" w:type="dxa"/>
            <w:tcBorders>
              <w:top w:val="single" w:color="auto" w:sz="4" w:space="0"/>
              <w:left w:val="single" w:color="auto" w:sz="4" w:space="0"/>
              <w:bottom w:val="single" w:color="auto" w:sz="4" w:space="0"/>
              <w:right w:val="single" w:color="auto" w:sz="4" w:space="0"/>
            </w:tcBorders>
            <w:vAlign w:val="center"/>
          </w:tcPr>
          <w:p w14:paraId="6011F0FF">
            <w:pPr>
              <w:spacing w:line="360" w:lineRule="auto"/>
              <w:jc w:val="center"/>
              <w:rPr>
                <w:rFonts w:ascii="宋体" w:hAnsi="宋体" w:eastAsia="宋体"/>
                <w:b/>
                <w:bCs/>
                <w:sz w:val="24"/>
              </w:rPr>
            </w:pPr>
            <w:r>
              <w:rPr>
                <w:rFonts w:hint="eastAsia" w:ascii="宋体" w:hAnsi="宋体" w:eastAsia="宋体"/>
                <w:b/>
                <w:bCs/>
                <w:sz w:val="24"/>
              </w:rPr>
              <w:t>评分标准</w:t>
            </w:r>
          </w:p>
        </w:tc>
        <w:tc>
          <w:tcPr>
            <w:tcW w:w="1023" w:type="dxa"/>
            <w:tcBorders>
              <w:top w:val="single" w:color="auto" w:sz="4" w:space="0"/>
              <w:left w:val="single" w:color="auto" w:sz="4" w:space="0"/>
              <w:bottom w:val="single" w:color="auto" w:sz="4" w:space="0"/>
              <w:right w:val="single" w:color="auto" w:sz="4" w:space="0"/>
            </w:tcBorders>
            <w:vAlign w:val="center"/>
          </w:tcPr>
          <w:p w14:paraId="15AAC842">
            <w:pPr>
              <w:spacing w:line="360" w:lineRule="auto"/>
              <w:jc w:val="center"/>
              <w:rPr>
                <w:rFonts w:ascii="宋体" w:hAnsi="宋体" w:eastAsia="宋体"/>
                <w:b/>
                <w:bCs/>
                <w:sz w:val="24"/>
              </w:rPr>
            </w:pPr>
            <w:r>
              <w:rPr>
                <w:rFonts w:hint="eastAsia" w:ascii="宋体" w:hAnsi="宋体" w:eastAsia="宋体"/>
                <w:b/>
                <w:bCs/>
                <w:sz w:val="24"/>
              </w:rPr>
              <w:t>分值范围</w:t>
            </w:r>
          </w:p>
        </w:tc>
      </w:tr>
      <w:tr w14:paraId="5681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restart"/>
            <w:tcBorders>
              <w:top w:val="single" w:color="auto" w:sz="4" w:space="0"/>
              <w:left w:val="single" w:color="auto" w:sz="4" w:space="0"/>
              <w:right w:val="single" w:color="auto" w:sz="4" w:space="0"/>
            </w:tcBorders>
            <w:vAlign w:val="center"/>
          </w:tcPr>
          <w:p w14:paraId="05D7C3C3">
            <w:pPr>
              <w:spacing w:line="360" w:lineRule="auto"/>
              <w:rPr>
                <w:rFonts w:asciiTheme="minorEastAsia" w:hAnsiTheme="minorEastAsia" w:eastAsiaTheme="minorEastAsia"/>
                <w:sz w:val="24"/>
              </w:rPr>
            </w:pPr>
            <w:r>
              <w:rPr>
                <w:rFonts w:hint="eastAsia" w:asciiTheme="minorEastAsia" w:hAnsiTheme="minorEastAsia" w:eastAsiaTheme="minorEastAsia"/>
                <w:sz w:val="24"/>
              </w:rPr>
              <w:t>技术资信分</w:t>
            </w:r>
          </w:p>
          <w:p w14:paraId="61068FE1">
            <w:pPr>
              <w:spacing w:line="360" w:lineRule="auto"/>
              <w:rPr>
                <w:rFonts w:ascii="宋体" w:hAnsi="宋体" w:eastAsia="宋体"/>
                <w:b/>
                <w:bCs/>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lang w:val="en-US" w:eastAsia="zh-CN"/>
              </w:rPr>
              <w:t>9</w:t>
            </w:r>
            <w:r>
              <w:rPr>
                <w:rFonts w:hint="eastAsia" w:asciiTheme="minorEastAsia" w:hAnsiTheme="minorEastAsia" w:eastAsiaTheme="minorEastAsia"/>
                <w:sz w:val="24"/>
              </w:rPr>
              <w:t>0 分）</w:t>
            </w:r>
          </w:p>
        </w:tc>
        <w:tc>
          <w:tcPr>
            <w:tcW w:w="1266" w:type="dxa"/>
            <w:tcBorders>
              <w:top w:val="single" w:color="auto" w:sz="4" w:space="0"/>
              <w:left w:val="single" w:color="auto" w:sz="4" w:space="0"/>
              <w:bottom w:val="single" w:color="auto" w:sz="4" w:space="0"/>
              <w:right w:val="single" w:color="auto" w:sz="4" w:space="0"/>
            </w:tcBorders>
            <w:vAlign w:val="center"/>
          </w:tcPr>
          <w:p w14:paraId="2A2EDC15">
            <w:pPr>
              <w:spacing w:line="360" w:lineRule="auto"/>
              <w:rPr>
                <w:rFonts w:ascii="宋体" w:hAnsi="宋体" w:eastAsia="宋体"/>
                <w:bCs/>
                <w:sz w:val="24"/>
                <w:highlight w:val="none"/>
              </w:rPr>
            </w:pPr>
            <w:r>
              <w:rPr>
                <w:rFonts w:hint="eastAsia" w:ascii="宋体" w:hAnsi="宋体" w:eastAsia="宋体"/>
                <w:sz w:val="24"/>
                <w:highlight w:val="none"/>
              </w:rPr>
              <w:t>服务方案</w:t>
            </w:r>
          </w:p>
        </w:tc>
        <w:tc>
          <w:tcPr>
            <w:tcW w:w="4755" w:type="dxa"/>
            <w:tcBorders>
              <w:top w:val="single" w:color="auto" w:sz="4" w:space="0"/>
              <w:left w:val="single" w:color="auto" w:sz="4" w:space="0"/>
              <w:bottom w:val="single" w:color="auto" w:sz="4" w:space="0"/>
              <w:right w:val="single" w:color="auto" w:sz="4" w:space="0"/>
            </w:tcBorders>
            <w:vAlign w:val="center"/>
          </w:tcPr>
          <w:p w14:paraId="6E92AF26">
            <w:pPr>
              <w:spacing w:line="360" w:lineRule="auto"/>
              <w:rPr>
                <w:rFonts w:hint="eastAsia" w:ascii="宋体" w:hAnsi="宋体" w:eastAsia="宋体"/>
                <w:bCs/>
                <w:sz w:val="24"/>
                <w:highlight w:val="none"/>
                <w:lang w:val="en-US" w:eastAsia="zh-CN"/>
              </w:rPr>
            </w:pPr>
            <w:r>
              <w:rPr>
                <w:rStyle w:val="10"/>
                <w:rFonts w:ascii="宋体" w:hAnsi="宋体" w:eastAsia="宋体" w:cs="宋体"/>
                <w:sz w:val="24"/>
                <w:szCs w:val="24"/>
                <w:highlight w:val="none"/>
              </w:rPr>
              <w:t>评分将重点考察方案对《招标需求》的响应深度与完整性，具体包括：</w:t>
            </w:r>
            <w:r>
              <w:rPr>
                <w:rFonts w:ascii="宋体" w:hAnsi="宋体" w:eastAsia="宋体" w:cs="宋体"/>
                <w:sz w:val="24"/>
                <w:szCs w:val="24"/>
                <w:highlight w:val="none"/>
              </w:rPr>
              <w:t xml:space="preserve"> </w:t>
            </w:r>
            <w:r>
              <w:rPr>
                <w:rFonts w:ascii="宋体" w:hAnsi="宋体" w:eastAsia="宋体" w:cs="宋体"/>
                <w:sz w:val="24"/>
                <w:szCs w:val="24"/>
                <w:highlight w:val="none"/>
              </w:rPr>
              <w:br w:type="textWrapping"/>
            </w:r>
            <w:r>
              <w:rPr>
                <w:rFonts w:ascii="宋体" w:hAnsi="宋体" w:eastAsia="宋体" w:cs="宋体"/>
                <w:sz w:val="24"/>
                <w:szCs w:val="24"/>
                <w:highlight w:val="none"/>
              </w:rPr>
              <w:t xml:space="preserve">1. </w:t>
            </w:r>
            <w:r>
              <w:rPr>
                <w:rStyle w:val="10"/>
                <w:rFonts w:ascii="宋体" w:hAnsi="宋体" w:eastAsia="宋体" w:cs="宋体"/>
                <w:sz w:val="24"/>
                <w:szCs w:val="24"/>
                <w:highlight w:val="none"/>
              </w:rPr>
              <w:t>年度规划完整性 :</w:t>
            </w:r>
            <w:r>
              <w:rPr>
                <w:rFonts w:ascii="宋体" w:hAnsi="宋体" w:eastAsia="宋体" w:cs="宋体"/>
                <w:sz w:val="24"/>
                <w:szCs w:val="24"/>
                <w:highlight w:val="none"/>
              </w:rPr>
              <w:t xml:space="preserve"> 提供完整、系统的年度运营规划，内容充实，节奏清晰，具备前瞻性和可执行性。</w:t>
            </w:r>
            <w:r>
              <w:rPr>
                <w:rFonts w:ascii="宋体" w:hAnsi="宋体" w:eastAsia="宋体" w:cs="宋体"/>
                <w:sz w:val="24"/>
                <w:szCs w:val="24"/>
                <w:highlight w:val="none"/>
              </w:rPr>
              <w:br w:type="textWrapping"/>
            </w:r>
            <w:r>
              <w:rPr>
                <w:rFonts w:ascii="宋体" w:hAnsi="宋体" w:eastAsia="宋体" w:cs="宋体"/>
                <w:sz w:val="24"/>
                <w:szCs w:val="24"/>
                <w:highlight w:val="none"/>
              </w:rPr>
              <w:t xml:space="preserve">2. </w:t>
            </w:r>
            <w:r>
              <w:rPr>
                <w:rStyle w:val="10"/>
                <w:rFonts w:ascii="宋体" w:hAnsi="宋体" w:eastAsia="宋体" w:cs="宋体"/>
                <w:sz w:val="24"/>
                <w:szCs w:val="24"/>
                <w:highlight w:val="none"/>
              </w:rPr>
              <w:t>服务需求响应度:</w:t>
            </w:r>
            <w:r>
              <w:rPr>
                <w:rFonts w:ascii="宋体" w:hAnsi="宋体" w:eastAsia="宋体" w:cs="宋体"/>
                <w:sz w:val="24"/>
                <w:szCs w:val="24"/>
                <w:highlight w:val="none"/>
              </w:rPr>
              <w:t xml:space="preserve"> 方案须全面响应招标文件中明确的七大服务需求：</w:t>
            </w:r>
            <w:r>
              <w:rPr>
                <w:rFonts w:ascii="宋体" w:hAnsi="宋体" w:eastAsia="宋体" w:cs="宋体"/>
                <w:sz w:val="24"/>
                <w:szCs w:val="24"/>
                <w:highlight w:val="none"/>
              </w:rPr>
              <w:br w:type="textWrapping"/>
            </w:r>
            <w:r>
              <w:rPr>
                <w:rFonts w:ascii="宋体" w:hAnsi="宋体" w:eastAsia="宋体" w:cs="宋体"/>
                <w:sz w:val="24"/>
                <w:szCs w:val="24"/>
                <w:highlight w:val="none"/>
              </w:rPr>
              <w:t>- 平台日常运维（排版、校对、发布、设计、巡检、应急响应）</w:t>
            </w:r>
            <w:r>
              <w:rPr>
                <w:rFonts w:ascii="宋体" w:hAnsi="宋体" w:eastAsia="宋体" w:cs="宋体"/>
                <w:sz w:val="24"/>
                <w:szCs w:val="24"/>
                <w:highlight w:val="none"/>
              </w:rPr>
              <w:br w:type="textWrapping"/>
            </w:r>
            <w:r>
              <w:rPr>
                <w:rFonts w:ascii="宋体" w:hAnsi="宋体" w:eastAsia="宋体" w:cs="宋体"/>
                <w:sz w:val="24"/>
                <w:szCs w:val="24"/>
                <w:highlight w:val="none"/>
              </w:rPr>
              <w:t>- 智能审校平台服务</w:t>
            </w:r>
            <w:r>
              <w:rPr>
                <w:rFonts w:ascii="宋体" w:hAnsi="宋体" w:eastAsia="宋体" w:cs="宋体"/>
                <w:sz w:val="24"/>
                <w:szCs w:val="24"/>
                <w:highlight w:val="none"/>
              </w:rPr>
              <w:br w:type="textWrapping"/>
            </w:r>
            <w:r>
              <w:rPr>
                <w:rFonts w:ascii="宋体" w:hAnsi="宋体" w:eastAsia="宋体" w:cs="宋体"/>
                <w:sz w:val="24"/>
                <w:szCs w:val="24"/>
                <w:highlight w:val="none"/>
              </w:rPr>
              <w:t>- 新媒体产品制作（长图、海报、H5、视频等）</w:t>
            </w:r>
            <w:r>
              <w:rPr>
                <w:rFonts w:ascii="宋体" w:hAnsi="宋体" w:eastAsia="宋体" w:cs="宋体"/>
                <w:sz w:val="24"/>
                <w:szCs w:val="24"/>
                <w:highlight w:val="none"/>
              </w:rPr>
              <w:br w:type="textWrapping"/>
            </w:r>
            <w:r>
              <w:rPr>
                <w:rFonts w:ascii="宋体" w:hAnsi="宋体" w:eastAsia="宋体" w:cs="宋体"/>
                <w:sz w:val="24"/>
                <w:szCs w:val="24"/>
                <w:highlight w:val="none"/>
              </w:rPr>
              <w:t>- 宣传策划服务（重大活动、节日及公司重要节点）</w:t>
            </w:r>
            <w:r>
              <w:rPr>
                <w:rFonts w:ascii="宋体" w:hAnsi="宋体" w:eastAsia="宋体" w:cs="宋体"/>
                <w:sz w:val="24"/>
                <w:szCs w:val="24"/>
                <w:highlight w:val="none"/>
              </w:rPr>
              <w:br w:type="textWrapping"/>
            </w:r>
            <w:r>
              <w:rPr>
                <w:rFonts w:ascii="宋体" w:hAnsi="宋体" w:eastAsia="宋体" w:cs="宋体"/>
                <w:sz w:val="24"/>
                <w:szCs w:val="24"/>
                <w:highlight w:val="none"/>
              </w:rPr>
              <w:t>- 业务培训服务（每年不少于2次）</w:t>
            </w:r>
            <w:r>
              <w:rPr>
                <w:rFonts w:ascii="宋体" w:hAnsi="宋体" w:eastAsia="宋体" w:cs="宋体"/>
                <w:sz w:val="24"/>
                <w:szCs w:val="24"/>
                <w:highlight w:val="none"/>
              </w:rPr>
              <w:br w:type="textWrapping"/>
            </w:r>
            <w:r>
              <w:rPr>
                <w:rFonts w:ascii="宋体" w:hAnsi="宋体" w:eastAsia="宋体" w:cs="宋体"/>
                <w:sz w:val="24"/>
                <w:szCs w:val="24"/>
                <w:highlight w:val="none"/>
              </w:rPr>
              <w:t>- 技术支持服务（栏目规划、功能升级、安全防护）</w:t>
            </w:r>
            <w:r>
              <w:rPr>
                <w:rFonts w:ascii="宋体" w:hAnsi="宋体" w:eastAsia="宋体" w:cs="宋体"/>
                <w:sz w:val="24"/>
                <w:szCs w:val="24"/>
                <w:highlight w:val="none"/>
              </w:rPr>
              <w:br w:type="textWrapping"/>
            </w:r>
            <w:r>
              <w:rPr>
                <w:rFonts w:ascii="宋体" w:hAnsi="宋体" w:eastAsia="宋体" w:cs="宋体"/>
                <w:sz w:val="24"/>
                <w:szCs w:val="24"/>
                <w:highlight w:val="none"/>
              </w:rPr>
              <w:t>- 运营分析服务（季度数据与舆情报告）</w:t>
            </w:r>
            <w:r>
              <w:rPr>
                <w:rFonts w:ascii="宋体" w:hAnsi="宋体" w:eastAsia="宋体" w:cs="宋体"/>
                <w:sz w:val="24"/>
                <w:szCs w:val="24"/>
                <w:highlight w:val="none"/>
              </w:rPr>
              <w:br w:type="textWrapping"/>
            </w:r>
            <w:r>
              <w:rPr>
                <w:rFonts w:ascii="宋体" w:hAnsi="宋体" w:eastAsia="宋体" w:cs="宋体"/>
                <w:sz w:val="24"/>
                <w:szCs w:val="24"/>
                <w:highlight w:val="none"/>
              </w:rPr>
              <w:t xml:space="preserve">3. </w:t>
            </w:r>
            <w:r>
              <w:rPr>
                <w:rStyle w:val="10"/>
                <w:rFonts w:ascii="宋体" w:hAnsi="宋体" w:eastAsia="宋体" w:cs="宋体"/>
                <w:sz w:val="24"/>
                <w:szCs w:val="24"/>
                <w:highlight w:val="none"/>
              </w:rPr>
              <w:t>设计能力与创意表现:</w:t>
            </w:r>
            <w:r>
              <w:rPr>
                <w:rFonts w:ascii="宋体" w:hAnsi="宋体" w:eastAsia="宋体" w:cs="宋体"/>
                <w:sz w:val="24"/>
                <w:szCs w:val="24"/>
                <w:highlight w:val="none"/>
              </w:rPr>
              <w:t xml:space="preserve"> 体现高水平的美术设计和新媒体产品创意制作能力，风格符合政务新媒体定位。</w:t>
            </w:r>
            <w:r>
              <w:rPr>
                <w:rFonts w:ascii="宋体" w:hAnsi="宋体" w:eastAsia="宋体" w:cs="宋体"/>
                <w:sz w:val="24"/>
                <w:szCs w:val="24"/>
                <w:highlight w:val="none"/>
              </w:rPr>
              <w:br w:type="textWrapping"/>
            </w:r>
            <w:r>
              <w:rPr>
                <w:rFonts w:ascii="宋体" w:hAnsi="宋体" w:eastAsia="宋体" w:cs="宋体"/>
                <w:sz w:val="24"/>
                <w:szCs w:val="24"/>
                <w:highlight w:val="none"/>
              </w:rPr>
              <w:t xml:space="preserve">4. </w:t>
            </w:r>
            <w:r>
              <w:rPr>
                <w:rStyle w:val="10"/>
                <w:rFonts w:ascii="宋体" w:hAnsi="宋体" w:eastAsia="宋体" w:cs="宋体"/>
                <w:sz w:val="24"/>
                <w:szCs w:val="24"/>
                <w:highlight w:val="none"/>
              </w:rPr>
              <w:t>制度规范与保密措施:</w:t>
            </w:r>
            <w:r>
              <w:rPr>
                <w:rFonts w:ascii="宋体" w:hAnsi="宋体" w:eastAsia="宋体" w:cs="宋体"/>
                <w:sz w:val="24"/>
                <w:szCs w:val="24"/>
                <w:highlight w:val="none"/>
              </w:rPr>
              <w:t xml:space="preserve"> 方案中须体现对信息发布“三审制”的严格执行机制、明确的数据保密与人员管理规范。</w:t>
            </w:r>
            <w:r>
              <w:rPr>
                <w:rFonts w:ascii="宋体" w:hAnsi="宋体" w:eastAsia="宋体" w:cs="宋体"/>
                <w:sz w:val="24"/>
                <w:szCs w:val="24"/>
                <w:highlight w:val="none"/>
              </w:rPr>
              <w:br w:type="textWrapping"/>
            </w:r>
            <w:r>
              <w:rPr>
                <w:rStyle w:val="10"/>
                <w:rFonts w:ascii="宋体" w:hAnsi="宋体" w:eastAsia="宋体" w:cs="宋体"/>
                <w:sz w:val="24"/>
                <w:szCs w:val="24"/>
                <w:highlight w:val="none"/>
              </w:rPr>
              <w:t>评分等级：</w:t>
            </w:r>
            <w:r>
              <w:rPr>
                <w:rFonts w:ascii="宋体" w:hAnsi="宋体" w:eastAsia="宋体" w:cs="宋体"/>
                <w:sz w:val="24"/>
                <w:szCs w:val="24"/>
                <w:highlight w:val="none"/>
              </w:rPr>
              <w:t xml:space="preserve"> </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方案规划完整清晰，全面深度响应服务需求，设计创意突出，制度规范严谨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得21-25分</w:t>
            </w:r>
            <w:r>
              <w:rPr>
                <w:rFonts w:ascii="宋体" w:hAnsi="宋体" w:eastAsia="宋体" w:cs="宋体"/>
                <w:sz w:val="24"/>
                <w:szCs w:val="24"/>
                <w:highlight w:val="none"/>
              </w:rPr>
              <w:t>。</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方案较完整，能较好响应大部分服务需求，设计能力较好，制度规范基本健全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得16-20分</w:t>
            </w:r>
            <w:r>
              <w:rPr>
                <w:rFonts w:ascii="宋体" w:hAnsi="宋体" w:eastAsia="宋体" w:cs="宋体"/>
                <w:sz w:val="24"/>
                <w:szCs w:val="24"/>
                <w:highlight w:val="none"/>
              </w:rPr>
              <w:t>。</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方案内容基本完整，但对服务需求的响应不够深入，设计能力一般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得11-15分。</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方案内容空泛，未能有效响应服务需求，缺乏针对性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得6-10分</w:t>
            </w:r>
            <w:r>
              <w:rPr>
                <w:rFonts w:ascii="宋体" w:hAnsi="宋体" w:eastAsia="宋体" w:cs="宋体"/>
                <w:sz w:val="24"/>
                <w:szCs w:val="24"/>
                <w:highlight w:val="none"/>
              </w:rPr>
              <w:t>。</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未提供</w:t>
            </w:r>
            <w:r>
              <w:rPr>
                <w:rFonts w:hint="eastAsia" w:ascii="宋体" w:hAnsi="宋体" w:eastAsia="宋体" w:cs="宋体"/>
                <w:sz w:val="24"/>
                <w:szCs w:val="24"/>
                <w:highlight w:val="none"/>
                <w:lang w:val="en-US" w:eastAsia="zh-CN"/>
              </w:rPr>
              <w:t>不得分</w:t>
            </w:r>
          </w:p>
        </w:tc>
        <w:tc>
          <w:tcPr>
            <w:tcW w:w="1023" w:type="dxa"/>
            <w:tcBorders>
              <w:top w:val="single" w:color="auto" w:sz="4" w:space="0"/>
              <w:left w:val="single" w:color="auto" w:sz="4" w:space="0"/>
              <w:bottom w:val="single" w:color="auto" w:sz="4" w:space="0"/>
              <w:right w:val="single" w:color="auto" w:sz="4" w:space="0"/>
            </w:tcBorders>
            <w:vAlign w:val="center"/>
          </w:tcPr>
          <w:p w14:paraId="6150F1DF">
            <w:pPr>
              <w:spacing w:line="360" w:lineRule="auto"/>
              <w:rPr>
                <w:rFonts w:hint="eastAsia" w:ascii="宋体" w:hAnsi="宋体" w:eastAsia="宋体"/>
                <w:b/>
                <w:bCs/>
                <w:sz w:val="24"/>
                <w:highlight w:val="yellow"/>
                <w:lang w:val="en-US" w:eastAsia="zh-CN"/>
              </w:rPr>
            </w:pPr>
            <w:r>
              <w:rPr>
                <w:rFonts w:hint="eastAsia" w:ascii="宋体" w:hAnsi="宋体" w:eastAsia="宋体"/>
                <w:sz w:val="24"/>
                <w:highlight w:val="none"/>
              </w:rPr>
              <w:t>0-</w:t>
            </w:r>
            <w:r>
              <w:rPr>
                <w:rFonts w:hint="eastAsia" w:ascii="宋体" w:hAnsi="宋体" w:eastAsia="宋体"/>
                <w:sz w:val="24"/>
                <w:highlight w:val="none"/>
                <w:lang w:val="en-US" w:eastAsia="zh-CN"/>
              </w:rPr>
              <w:t>25</w:t>
            </w:r>
            <w:r>
              <w:rPr>
                <w:rFonts w:hint="eastAsia" w:ascii="宋体" w:hAnsi="宋体" w:eastAsia="宋体"/>
                <w:sz w:val="24"/>
                <w:highlight w:val="none"/>
              </w:rPr>
              <w:t>分</w:t>
            </w:r>
            <w:r>
              <w:rPr>
                <w:rFonts w:hint="eastAsia" w:ascii="宋体" w:hAnsi="宋体" w:eastAsia="宋体"/>
                <w:sz w:val="24"/>
                <w:highlight w:val="none"/>
                <w:lang w:val="en-US" w:eastAsia="zh-CN"/>
              </w:rPr>
              <w:t xml:space="preserve"> </w:t>
            </w:r>
          </w:p>
        </w:tc>
      </w:tr>
      <w:tr w14:paraId="161D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50F95228">
            <w:pPr>
              <w:spacing w:line="360" w:lineRule="auto"/>
              <w:ind w:firstLine="435"/>
              <w:jc w:val="center"/>
              <w:rPr>
                <w:rFonts w:ascii="宋体" w:hAnsi="宋体" w:eastAsia="宋体"/>
                <w:b/>
                <w:bCs/>
                <w:sz w:val="24"/>
              </w:rPr>
            </w:pPr>
          </w:p>
        </w:tc>
        <w:tc>
          <w:tcPr>
            <w:tcW w:w="1266" w:type="dxa"/>
            <w:tcBorders>
              <w:top w:val="single" w:color="auto" w:sz="4" w:space="0"/>
              <w:left w:val="single" w:color="auto" w:sz="4" w:space="0"/>
              <w:bottom w:val="single" w:color="auto" w:sz="4" w:space="0"/>
              <w:right w:val="single" w:color="auto" w:sz="4" w:space="0"/>
            </w:tcBorders>
            <w:vAlign w:val="center"/>
          </w:tcPr>
          <w:p w14:paraId="2F60F9D9">
            <w:pPr>
              <w:spacing w:line="360" w:lineRule="auto"/>
              <w:rPr>
                <w:rFonts w:ascii="宋体" w:hAnsi="宋体" w:eastAsia="宋体"/>
                <w:sz w:val="24"/>
              </w:rPr>
            </w:pPr>
            <w:r>
              <w:rPr>
                <w:rFonts w:hint="eastAsia" w:ascii="宋体" w:hAnsi="宋体" w:eastAsia="宋体"/>
                <w:sz w:val="24"/>
              </w:rPr>
              <w:t>供应商业绩</w:t>
            </w:r>
          </w:p>
        </w:tc>
        <w:tc>
          <w:tcPr>
            <w:tcW w:w="4755" w:type="dxa"/>
            <w:tcBorders>
              <w:top w:val="single" w:color="auto" w:sz="4" w:space="0"/>
              <w:left w:val="single" w:color="auto" w:sz="4" w:space="0"/>
              <w:bottom w:val="single" w:color="auto" w:sz="4" w:space="0"/>
              <w:right w:val="single" w:color="auto" w:sz="4" w:space="0"/>
            </w:tcBorders>
            <w:vAlign w:val="center"/>
          </w:tcPr>
          <w:p w14:paraId="0D16BB97">
            <w:pPr>
              <w:spacing w:line="360" w:lineRule="auto"/>
              <w:rPr>
                <w:rFonts w:ascii="宋体" w:hAnsi="宋体" w:eastAsia="宋体"/>
                <w:sz w:val="24"/>
              </w:rPr>
            </w:pPr>
            <w:r>
              <w:rPr>
                <w:rFonts w:hint="eastAsia" w:ascii="宋体" w:hAnsi="宋体" w:eastAsia="宋体"/>
                <w:sz w:val="24"/>
              </w:rPr>
              <w:t>自202</w:t>
            </w:r>
            <w:r>
              <w:rPr>
                <w:rFonts w:hint="eastAsia" w:ascii="宋体" w:hAnsi="宋体" w:eastAsia="宋体"/>
                <w:sz w:val="24"/>
                <w:lang w:val="en-US" w:eastAsia="zh-CN"/>
              </w:rPr>
              <w:t>1</w:t>
            </w:r>
            <w:r>
              <w:rPr>
                <w:rFonts w:hint="eastAsia" w:ascii="宋体" w:hAnsi="宋体" w:eastAsia="宋体"/>
                <w:sz w:val="24"/>
              </w:rPr>
              <w:t>年1月1日以来（以合同签订时间为准），供应商承接过</w:t>
            </w:r>
            <w:r>
              <w:rPr>
                <w:rFonts w:hint="eastAsia" w:ascii="宋体" w:hAnsi="宋体" w:eastAsia="宋体"/>
                <w:sz w:val="24"/>
                <w:lang w:val="en-US" w:eastAsia="zh-CN"/>
              </w:rPr>
              <w:t>县处级</w:t>
            </w:r>
            <w:r>
              <w:rPr>
                <w:rFonts w:hint="eastAsia" w:ascii="宋体" w:hAnsi="宋体" w:eastAsia="宋体"/>
                <w:sz w:val="24"/>
              </w:rPr>
              <w:t>级及以上党政机关</w:t>
            </w:r>
            <w:r>
              <w:rPr>
                <w:rFonts w:hint="eastAsia" w:ascii="宋体" w:hAnsi="宋体" w:eastAsia="宋体"/>
                <w:sz w:val="24"/>
                <w:lang w:eastAsia="zh-CN"/>
              </w:rPr>
              <w:t>、</w:t>
            </w:r>
            <w:r>
              <w:rPr>
                <w:rFonts w:hint="eastAsia" w:ascii="宋体" w:hAnsi="宋体" w:eastAsia="宋体"/>
                <w:sz w:val="24"/>
              </w:rPr>
              <w:t>事业单位）</w:t>
            </w:r>
            <w:r>
              <w:rPr>
                <w:rFonts w:hint="eastAsia" w:ascii="宋体" w:hAnsi="宋体" w:eastAsia="宋体"/>
                <w:sz w:val="24"/>
                <w:lang w:eastAsia="zh-CN"/>
              </w:rPr>
              <w:t>、</w:t>
            </w:r>
            <w:r>
              <w:rPr>
                <w:rFonts w:hint="eastAsia" w:ascii="宋体" w:hAnsi="宋体" w:eastAsia="宋体"/>
                <w:sz w:val="24"/>
              </w:rPr>
              <w:t>国有及国有控股企业委托的年度微信公众号运营项目或新媒体运维业绩的，每提供一个业绩3分，满分</w:t>
            </w:r>
            <w:r>
              <w:rPr>
                <w:rFonts w:hint="eastAsia" w:ascii="宋体" w:hAnsi="宋体" w:eastAsia="宋体"/>
                <w:sz w:val="24"/>
                <w:lang w:val="en-US" w:eastAsia="zh-CN"/>
              </w:rPr>
              <w:t>15</w:t>
            </w:r>
            <w:r>
              <w:rPr>
                <w:rFonts w:hint="eastAsia" w:ascii="宋体" w:hAnsi="宋体" w:eastAsia="宋体"/>
                <w:sz w:val="24"/>
              </w:rPr>
              <w:t>分。</w:t>
            </w:r>
          </w:p>
          <w:p w14:paraId="5EE5162D">
            <w:pPr>
              <w:spacing w:line="360" w:lineRule="auto"/>
              <w:rPr>
                <w:rFonts w:ascii="宋体" w:hAnsi="宋体" w:eastAsia="宋体"/>
                <w:b/>
                <w:bCs/>
                <w:sz w:val="24"/>
              </w:rPr>
            </w:pPr>
            <w:r>
              <w:rPr>
                <w:rFonts w:hint="eastAsia" w:ascii="宋体" w:hAnsi="宋体" w:eastAsia="宋体"/>
                <w:b/>
                <w:bCs/>
                <w:sz w:val="24"/>
              </w:rPr>
              <w:t>注：1、响应文件中须提供业绩合同扫描件。</w:t>
            </w:r>
          </w:p>
          <w:p w14:paraId="325C2372">
            <w:pPr>
              <w:numPr>
                <w:ilvl w:val="0"/>
                <w:numId w:val="1"/>
              </w:numPr>
              <w:spacing w:line="360" w:lineRule="auto"/>
              <w:rPr>
                <w:rFonts w:ascii="宋体" w:hAnsi="宋体" w:eastAsia="宋体"/>
                <w:b/>
                <w:bCs/>
                <w:sz w:val="24"/>
              </w:rPr>
            </w:pPr>
            <w:r>
              <w:rPr>
                <w:rFonts w:hint="eastAsia" w:ascii="宋体" w:hAnsi="宋体" w:eastAsia="宋体"/>
                <w:b/>
                <w:bCs/>
                <w:sz w:val="24"/>
              </w:rPr>
              <w:t>以上业绩包含已完成履约和正在履约中的项目业绩。</w:t>
            </w:r>
          </w:p>
          <w:p w14:paraId="1777BC0B">
            <w:pPr>
              <w:spacing w:line="360" w:lineRule="auto"/>
              <w:rPr>
                <w:rFonts w:ascii="宋体" w:hAnsi="宋体" w:eastAsia="宋体"/>
                <w:sz w:val="24"/>
              </w:rPr>
            </w:pPr>
            <w:r>
              <w:rPr>
                <w:rFonts w:hint="eastAsia" w:ascii="宋体" w:hAnsi="宋体" w:eastAsia="宋体"/>
                <w:b/>
                <w:bCs/>
                <w:sz w:val="24"/>
              </w:rPr>
              <w:t>3、党政机关包括党的机关、人大机关、行政机关、政协机关、审判机关、检察机关，及各级党政机关派出机构、 直属事业单位及工会、共青团、妇联等。</w:t>
            </w:r>
          </w:p>
        </w:tc>
        <w:tc>
          <w:tcPr>
            <w:tcW w:w="1023" w:type="dxa"/>
            <w:tcBorders>
              <w:top w:val="single" w:color="auto" w:sz="4" w:space="0"/>
              <w:left w:val="single" w:color="auto" w:sz="4" w:space="0"/>
              <w:bottom w:val="single" w:color="auto" w:sz="4" w:space="0"/>
              <w:right w:val="single" w:color="auto" w:sz="4" w:space="0"/>
            </w:tcBorders>
            <w:vAlign w:val="center"/>
          </w:tcPr>
          <w:p w14:paraId="6DA39B97">
            <w:pPr>
              <w:spacing w:line="360" w:lineRule="auto"/>
              <w:rPr>
                <w:rFonts w:ascii="宋体" w:hAnsi="宋体" w:eastAsia="宋体"/>
                <w:b/>
                <w:bCs/>
                <w:sz w:val="24"/>
              </w:rPr>
            </w:pPr>
            <w:r>
              <w:rPr>
                <w:rFonts w:hint="eastAsia" w:ascii="宋体" w:hAnsi="宋体" w:eastAsia="宋体"/>
                <w:sz w:val="24"/>
              </w:rPr>
              <w:t>0-</w:t>
            </w:r>
            <w:r>
              <w:rPr>
                <w:rFonts w:hint="eastAsia" w:ascii="宋体" w:hAnsi="宋体" w:eastAsia="宋体"/>
                <w:sz w:val="24"/>
                <w:lang w:val="en-US" w:eastAsia="zh-CN"/>
              </w:rPr>
              <w:t>15</w:t>
            </w:r>
            <w:r>
              <w:rPr>
                <w:rFonts w:hint="eastAsia" w:ascii="宋体" w:hAnsi="宋体" w:eastAsia="宋体"/>
                <w:sz w:val="24"/>
              </w:rPr>
              <w:t>分</w:t>
            </w:r>
          </w:p>
        </w:tc>
      </w:tr>
      <w:tr w14:paraId="1E48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05A6493C">
            <w:pPr>
              <w:spacing w:line="360" w:lineRule="auto"/>
              <w:ind w:firstLine="435"/>
              <w:jc w:val="center"/>
              <w:rPr>
                <w:rFonts w:ascii="宋体" w:hAnsi="宋体" w:eastAsia="宋体"/>
                <w:b/>
                <w:bCs/>
                <w:sz w:val="24"/>
              </w:rPr>
            </w:pPr>
          </w:p>
        </w:tc>
        <w:tc>
          <w:tcPr>
            <w:tcW w:w="1266" w:type="dxa"/>
            <w:tcBorders>
              <w:top w:val="single" w:color="auto" w:sz="4" w:space="0"/>
              <w:left w:val="single" w:color="auto" w:sz="4" w:space="0"/>
              <w:bottom w:val="single" w:color="auto" w:sz="4" w:space="0"/>
              <w:right w:val="single" w:color="auto" w:sz="4" w:space="0"/>
            </w:tcBorders>
            <w:vAlign w:val="center"/>
          </w:tcPr>
          <w:p w14:paraId="3A6C6582">
            <w:pPr>
              <w:spacing w:line="360" w:lineRule="auto"/>
              <w:rPr>
                <w:rFonts w:ascii="宋体" w:hAnsi="宋体" w:eastAsia="宋体"/>
                <w:sz w:val="24"/>
              </w:rPr>
            </w:pPr>
            <w:r>
              <w:rPr>
                <w:rFonts w:hint="eastAsia" w:ascii="宋体" w:hAnsi="宋体" w:eastAsia="宋体"/>
                <w:sz w:val="24"/>
                <w:lang w:val="en-US" w:eastAsia="zh-CN"/>
              </w:rPr>
              <w:t>服务响应能力</w:t>
            </w:r>
          </w:p>
        </w:tc>
        <w:tc>
          <w:tcPr>
            <w:tcW w:w="4755" w:type="dxa"/>
            <w:tcBorders>
              <w:top w:val="single" w:color="auto" w:sz="4" w:space="0"/>
              <w:left w:val="single" w:color="auto" w:sz="4" w:space="0"/>
              <w:bottom w:val="single" w:color="auto" w:sz="4" w:space="0"/>
              <w:right w:val="single" w:color="auto" w:sz="4" w:space="0"/>
            </w:tcBorders>
            <w:vAlign w:val="center"/>
          </w:tcPr>
          <w:p w14:paraId="5C8D6624">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供应商承诺系统平台故障响应</w:t>
            </w:r>
            <w:r>
              <w:rPr>
                <w:rFonts w:hint="eastAsia" w:ascii="Times New Roman" w:hAnsi="Times New Roman" w:eastAsia="宋体"/>
                <w:color w:val="auto"/>
                <w:sz w:val="24"/>
                <w:highlight w:val="none"/>
                <w:lang w:val="en-US" w:eastAsia="zh-CN"/>
              </w:rPr>
              <w:t>或服务需求</w:t>
            </w:r>
            <w:r>
              <w:rPr>
                <w:rFonts w:hint="eastAsia" w:ascii="Times New Roman" w:hAnsi="Times New Roman" w:eastAsia="宋体"/>
                <w:color w:val="auto"/>
                <w:sz w:val="24"/>
                <w:highlight w:val="none"/>
              </w:rPr>
              <w:t>时限不超过</w:t>
            </w:r>
            <w:r>
              <w:rPr>
                <w:rFonts w:ascii="Times New Roman" w:hAnsi="Times New Roman" w:eastAsia="宋体"/>
                <w:color w:val="auto"/>
                <w:sz w:val="24"/>
                <w:highlight w:val="none"/>
              </w:rPr>
              <w:t>30分钟的</w:t>
            </w: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得</w:t>
            </w:r>
            <w:r>
              <w:rPr>
                <w:rFonts w:hint="eastAsia" w:ascii="Times New Roman" w:hAnsi="Times New Roman" w:eastAsia="宋体"/>
                <w:color w:val="auto"/>
                <w:sz w:val="24"/>
                <w:highlight w:val="none"/>
                <w:lang w:val="en-US" w:eastAsia="zh-CN"/>
              </w:rPr>
              <w:t>5</w:t>
            </w:r>
            <w:r>
              <w:rPr>
                <w:rFonts w:ascii="Times New Roman" w:hAnsi="Times New Roman" w:eastAsia="宋体"/>
                <w:color w:val="auto"/>
                <w:sz w:val="24"/>
                <w:highlight w:val="none"/>
              </w:rPr>
              <w:t>分</w:t>
            </w:r>
            <w:r>
              <w:rPr>
                <w:rFonts w:hint="eastAsia" w:ascii="Times New Roman" w:hAnsi="Times New Roman" w:eastAsia="宋体"/>
                <w:color w:val="auto"/>
                <w:sz w:val="24"/>
                <w:highlight w:val="none"/>
              </w:rPr>
              <w:t>。</w:t>
            </w:r>
          </w:p>
          <w:p w14:paraId="22311695">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供应商承诺系统平台故障响应</w:t>
            </w:r>
            <w:r>
              <w:rPr>
                <w:rFonts w:hint="eastAsia" w:ascii="Times New Roman" w:hAnsi="Times New Roman" w:eastAsia="宋体"/>
                <w:color w:val="auto"/>
                <w:sz w:val="24"/>
                <w:highlight w:val="none"/>
                <w:lang w:val="en-US" w:eastAsia="zh-CN"/>
              </w:rPr>
              <w:t>或服务需求</w:t>
            </w:r>
            <w:r>
              <w:rPr>
                <w:rFonts w:hint="eastAsia" w:ascii="Times New Roman" w:hAnsi="Times New Roman" w:eastAsia="宋体"/>
                <w:color w:val="auto"/>
                <w:sz w:val="24"/>
                <w:highlight w:val="none"/>
              </w:rPr>
              <w:t>时限不超过</w:t>
            </w:r>
            <w:r>
              <w:rPr>
                <w:rFonts w:hint="eastAsia" w:ascii="Times New Roman" w:hAnsi="Times New Roman" w:eastAsia="宋体"/>
                <w:color w:val="auto"/>
                <w:sz w:val="24"/>
                <w:highlight w:val="none"/>
                <w:lang w:val="en-US" w:eastAsia="zh-CN"/>
              </w:rPr>
              <w:t>60</w:t>
            </w:r>
            <w:r>
              <w:rPr>
                <w:rFonts w:ascii="Times New Roman" w:hAnsi="Times New Roman" w:eastAsia="宋体"/>
                <w:color w:val="auto"/>
                <w:sz w:val="24"/>
                <w:highlight w:val="none"/>
              </w:rPr>
              <w:t>分钟的</w:t>
            </w: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得</w:t>
            </w:r>
            <w:r>
              <w:rPr>
                <w:rFonts w:hint="eastAsia" w:ascii="Times New Roman" w:hAnsi="Times New Roman" w:eastAsia="宋体"/>
                <w:color w:val="auto"/>
                <w:sz w:val="24"/>
                <w:highlight w:val="none"/>
                <w:lang w:val="en-US" w:eastAsia="zh-CN"/>
              </w:rPr>
              <w:t>3</w:t>
            </w:r>
            <w:r>
              <w:rPr>
                <w:rFonts w:ascii="Times New Roman" w:hAnsi="Times New Roman" w:eastAsia="宋体"/>
                <w:color w:val="auto"/>
                <w:sz w:val="24"/>
                <w:highlight w:val="none"/>
              </w:rPr>
              <w:t>分</w:t>
            </w:r>
            <w:r>
              <w:rPr>
                <w:rFonts w:hint="eastAsia" w:ascii="Times New Roman" w:hAnsi="Times New Roman" w:eastAsia="宋体"/>
                <w:color w:val="auto"/>
                <w:sz w:val="24"/>
                <w:highlight w:val="none"/>
              </w:rPr>
              <w:t>。</w:t>
            </w:r>
          </w:p>
          <w:p w14:paraId="3AE18F19">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ascii="Times New Roman" w:hAnsi="Times New Roman" w:eastAsia="宋体"/>
                <w:color w:val="auto"/>
                <w:sz w:val="24"/>
                <w:highlight w:val="none"/>
              </w:rPr>
            </w:pPr>
            <w:r>
              <w:rPr>
                <w:rFonts w:hint="eastAsia" w:ascii="Times New Roman" w:hAnsi="Times New Roman" w:eastAsia="宋体"/>
                <w:color w:val="auto"/>
                <w:sz w:val="24"/>
                <w:highlight w:val="none"/>
              </w:rPr>
              <w:t>未提供或提供承诺内容不符合要求的不得分。</w:t>
            </w:r>
          </w:p>
          <w:p w14:paraId="12F33553">
            <w:pPr>
              <w:spacing w:line="360" w:lineRule="auto"/>
              <w:rPr>
                <w:rFonts w:ascii="宋体" w:hAnsi="宋体" w:eastAsia="宋体"/>
                <w:sz w:val="24"/>
              </w:rPr>
            </w:pPr>
            <w:r>
              <w:rPr>
                <w:rFonts w:hint="eastAsia" w:ascii="Times New Roman" w:hAnsi="Times New Roman" w:eastAsia="宋体"/>
                <w:b/>
                <w:color w:val="auto"/>
                <w:sz w:val="24"/>
                <w:highlight w:val="none"/>
              </w:rPr>
              <w:t>注：响应文件中提供书面承诺（格式自拟）。</w:t>
            </w:r>
          </w:p>
        </w:tc>
        <w:tc>
          <w:tcPr>
            <w:tcW w:w="1023" w:type="dxa"/>
            <w:tcBorders>
              <w:top w:val="single" w:color="auto" w:sz="4" w:space="0"/>
              <w:left w:val="single" w:color="auto" w:sz="4" w:space="0"/>
              <w:bottom w:val="single" w:color="auto" w:sz="4" w:space="0"/>
              <w:right w:val="single" w:color="auto" w:sz="4" w:space="0"/>
            </w:tcBorders>
            <w:vAlign w:val="center"/>
          </w:tcPr>
          <w:p w14:paraId="01BB5715">
            <w:pPr>
              <w:spacing w:line="360" w:lineRule="auto"/>
              <w:rPr>
                <w:rFonts w:ascii="宋体" w:hAnsi="宋体" w:eastAsia="宋体"/>
                <w:b/>
                <w:bCs/>
                <w:sz w:val="24"/>
              </w:rPr>
            </w:pPr>
            <w:r>
              <w:rPr>
                <w:rFonts w:hint="eastAsia" w:ascii="宋体" w:hAnsi="宋体" w:eastAsia="宋体"/>
                <w:sz w:val="24"/>
              </w:rPr>
              <w:t>0-</w:t>
            </w:r>
            <w:r>
              <w:rPr>
                <w:rFonts w:hint="eastAsia" w:ascii="宋体" w:hAnsi="宋体" w:eastAsia="宋体"/>
                <w:sz w:val="24"/>
                <w:lang w:val="en-US" w:eastAsia="zh-CN"/>
              </w:rPr>
              <w:t>5</w:t>
            </w:r>
            <w:r>
              <w:rPr>
                <w:rFonts w:hint="eastAsia" w:ascii="宋体" w:hAnsi="宋体" w:eastAsia="宋体"/>
                <w:sz w:val="24"/>
              </w:rPr>
              <w:t>分</w:t>
            </w:r>
          </w:p>
        </w:tc>
      </w:tr>
      <w:tr w14:paraId="0744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7654C013">
            <w:pPr>
              <w:spacing w:line="360" w:lineRule="auto"/>
              <w:ind w:firstLine="435"/>
              <w:jc w:val="center"/>
              <w:rPr>
                <w:rFonts w:ascii="宋体" w:hAnsi="宋体" w:eastAsia="宋体"/>
                <w:b/>
                <w:bCs/>
                <w:sz w:val="24"/>
              </w:rPr>
            </w:pPr>
          </w:p>
        </w:tc>
        <w:tc>
          <w:tcPr>
            <w:tcW w:w="1266" w:type="dxa"/>
            <w:tcBorders>
              <w:top w:val="single" w:color="auto" w:sz="4" w:space="0"/>
              <w:left w:val="single" w:color="auto" w:sz="4" w:space="0"/>
              <w:bottom w:val="single" w:color="auto" w:sz="4" w:space="0"/>
              <w:right w:val="single" w:color="auto" w:sz="4" w:space="0"/>
            </w:tcBorders>
            <w:vAlign w:val="center"/>
          </w:tcPr>
          <w:p w14:paraId="02CC8540">
            <w:pPr>
              <w:spacing w:line="360" w:lineRule="auto"/>
              <w:rPr>
                <w:rFonts w:hint="eastAsia" w:ascii="宋体" w:hAnsi="宋体" w:eastAsia="宋体"/>
                <w:sz w:val="24"/>
                <w:lang w:eastAsia="zh-CN"/>
              </w:rPr>
            </w:pPr>
            <w:r>
              <w:rPr>
                <w:rFonts w:hint="eastAsia" w:ascii="宋体" w:hAnsi="宋体" w:eastAsia="宋体"/>
                <w:sz w:val="24"/>
                <w:lang w:val="en-US" w:eastAsia="zh-CN"/>
              </w:rPr>
              <w:t>人员配置</w:t>
            </w:r>
          </w:p>
        </w:tc>
        <w:tc>
          <w:tcPr>
            <w:tcW w:w="4755" w:type="dxa"/>
            <w:tcBorders>
              <w:top w:val="single" w:color="auto" w:sz="4" w:space="0"/>
              <w:left w:val="single" w:color="auto" w:sz="4" w:space="0"/>
              <w:bottom w:val="single" w:color="auto" w:sz="4" w:space="0"/>
              <w:right w:val="single" w:color="auto" w:sz="4" w:space="0"/>
            </w:tcBorders>
            <w:vAlign w:val="center"/>
          </w:tcPr>
          <w:p w14:paraId="2059A5A0">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ascii="Times New Roman" w:hAnsi="Times New Roman" w:eastAsia="宋体"/>
                <w:color w:val="auto"/>
                <w:sz w:val="24"/>
                <w:highlight w:val="none"/>
              </w:rPr>
            </w:pPr>
            <w:r>
              <w:rPr>
                <w:rFonts w:hint="eastAsia" w:ascii="Times New Roman" w:hAnsi="Times New Roman" w:eastAsia="宋体"/>
                <w:color w:val="auto"/>
                <w:sz w:val="24"/>
                <w:highlight w:val="none"/>
              </w:rPr>
              <w:t>供应商拟为本项目配备的项目团队人员：</w:t>
            </w:r>
          </w:p>
          <w:p w14:paraId="1242121C">
            <w:pPr>
              <w:keepNext w:val="0"/>
              <w:keepLines w:val="0"/>
              <w:pageBreakBefore w:val="0"/>
              <w:widowControl w:val="0"/>
              <w:numPr>
                <w:ilvl w:val="0"/>
                <w:numId w:val="2"/>
              </w:numPr>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Times New Roman" w:hAnsi="Times New Roman" w:eastAsia="宋体"/>
                <w:color w:val="auto"/>
                <w:sz w:val="24"/>
                <w:highlight w:val="none"/>
              </w:rPr>
              <w:t>在满足采购要求的</w:t>
            </w:r>
            <w:r>
              <w:rPr>
                <w:rFonts w:ascii="Times New Roman" w:hAnsi="Times New Roman" w:eastAsia="宋体"/>
                <w:color w:val="auto"/>
                <w:sz w:val="24"/>
                <w:highlight w:val="none"/>
              </w:rPr>
              <w:t>服务团队的基础上，</w:t>
            </w:r>
            <w:r>
              <w:rPr>
                <w:rFonts w:hint="eastAsia" w:ascii="宋体" w:hAnsi="宋体" w:eastAsia="宋体" w:cs="宋体"/>
                <w:color w:val="auto"/>
                <w:sz w:val="24"/>
                <w:szCs w:val="24"/>
                <w:highlight w:val="none"/>
              </w:rPr>
              <w:t>供应商为本项目配备的编辑人员</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具有新闻采编从业资格培训合格证书的，每提供1个得2分，最多得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分。 </w:t>
            </w:r>
          </w:p>
          <w:p w14:paraId="27B202E2">
            <w:pPr>
              <w:keepNext w:val="0"/>
              <w:keepLines w:val="0"/>
              <w:pageBreakBefore w:val="0"/>
              <w:widowControl w:val="0"/>
              <w:kinsoku/>
              <w:wordWrap/>
              <w:overflowPunct/>
              <w:topLinePunct w:val="0"/>
              <w:bidi w:val="0"/>
              <w:spacing w:line="360" w:lineRule="auto"/>
              <w:textAlignment w:val="auto"/>
              <w:rPr>
                <w:color w:val="auto"/>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sz w:val="24"/>
                <w:szCs w:val="24"/>
                <w:highlight w:val="none"/>
              </w:rPr>
              <w:t>供应商为本项目配备的</w:t>
            </w:r>
            <w:r>
              <w:rPr>
                <w:rFonts w:hint="eastAsia" w:ascii="宋体" w:hAnsi="宋体" w:eastAsia="宋体" w:cs="宋体"/>
                <w:color w:val="auto"/>
                <w:kern w:val="0"/>
                <w:sz w:val="24"/>
                <w:szCs w:val="24"/>
                <w:highlight w:val="none"/>
              </w:rPr>
              <w:t>服务团队中</w:t>
            </w:r>
            <w:r>
              <w:rPr>
                <w:rFonts w:hint="eastAsia" w:ascii="宋体" w:hAnsi="宋体" w:eastAsia="宋体" w:cs="宋体"/>
                <w:color w:val="auto"/>
                <w:kern w:val="0"/>
                <w:sz w:val="24"/>
                <w:szCs w:val="24"/>
                <w:highlight w:val="none"/>
                <w:lang w:eastAsia="zh-CN"/>
              </w:rPr>
              <w:t>成员</w:t>
            </w:r>
            <w:r>
              <w:rPr>
                <w:rFonts w:hint="eastAsia" w:ascii="宋体" w:hAnsi="宋体" w:eastAsia="宋体" w:cs="宋体"/>
                <w:color w:val="auto"/>
                <w:kern w:val="0"/>
                <w:sz w:val="24"/>
                <w:szCs w:val="24"/>
                <w:highlight w:val="none"/>
              </w:rPr>
              <w:t>有制作的</w:t>
            </w:r>
            <w:r>
              <w:rPr>
                <w:rFonts w:hint="eastAsia" w:ascii="宋体" w:hAnsi="宋体" w:eastAsia="宋体" w:cs="宋体"/>
                <w:color w:val="auto"/>
                <w:kern w:val="0"/>
                <w:sz w:val="24"/>
                <w:szCs w:val="24"/>
                <w:highlight w:val="none"/>
                <w:lang w:eastAsia="zh-CN"/>
              </w:rPr>
              <w:t>新闻</w:t>
            </w:r>
            <w:r>
              <w:rPr>
                <w:rFonts w:hint="eastAsia" w:ascii="宋体" w:hAnsi="宋体" w:eastAsia="宋体" w:cs="宋体"/>
                <w:color w:val="auto"/>
                <w:kern w:val="0"/>
                <w:sz w:val="24"/>
                <w:szCs w:val="24"/>
                <w:highlight w:val="none"/>
              </w:rPr>
              <w:t>作品，</w:t>
            </w:r>
            <w:r>
              <w:rPr>
                <w:rFonts w:hint="eastAsia" w:ascii="Times New Roman" w:hAnsi="Times New Roman" w:eastAsia="宋体"/>
                <w:color w:val="auto"/>
                <w:sz w:val="24"/>
                <w:highlight w:val="none"/>
              </w:rPr>
              <w:t>获得省级</w:t>
            </w:r>
            <w:r>
              <w:rPr>
                <w:rFonts w:hint="eastAsia" w:ascii="Times New Roman" w:hAnsi="Times New Roman" w:eastAsia="宋体"/>
                <w:color w:val="auto"/>
                <w:sz w:val="24"/>
                <w:highlight w:val="none"/>
                <w:lang w:eastAsia="zh-CN"/>
              </w:rPr>
              <w:t>及</w:t>
            </w:r>
            <w:r>
              <w:rPr>
                <w:rFonts w:hint="eastAsia" w:ascii="Times New Roman" w:hAnsi="Times New Roman" w:eastAsia="宋体"/>
                <w:color w:val="auto"/>
                <w:sz w:val="24"/>
                <w:highlight w:val="none"/>
              </w:rPr>
              <w:t>以上</w:t>
            </w:r>
            <w:r>
              <w:rPr>
                <w:rFonts w:hint="eastAsia" w:ascii="Times New Roman" w:hAnsi="Times New Roman" w:eastAsia="宋体"/>
                <w:color w:val="auto"/>
                <w:sz w:val="24"/>
                <w:highlight w:val="none"/>
                <w:lang w:eastAsia="zh-CN"/>
              </w:rPr>
              <w:t>法人组织或</w:t>
            </w:r>
            <w:r>
              <w:rPr>
                <w:rFonts w:ascii="宋体" w:hAnsi="宋体" w:eastAsia="宋体" w:cs="宋体"/>
                <w:color w:val="auto"/>
                <w:sz w:val="24"/>
                <w:szCs w:val="24"/>
                <w:highlight w:val="none"/>
              </w:rPr>
              <w:t>在国内依法登记注册的协会（学会）</w:t>
            </w:r>
            <w:r>
              <w:rPr>
                <w:rFonts w:hint="eastAsia" w:ascii="Times New Roman" w:hAnsi="Times New Roman" w:eastAsia="宋体"/>
                <w:color w:val="auto"/>
                <w:sz w:val="24"/>
                <w:highlight w:val="none"/>
              </w:rPr>
              <w:t>颁发的奖项（或荣誉）</w:t>
            </w:r>
            <w:r>
              <w:rPr>
                <w:rFonts w:hint="eastAsia" w:ascii="宋体" w:hAnsi="宋体" w:eastAsia="宋体" w:cs="宋体"/>
                <w:color w:val="auto"/>
                <w:kern w:val="0"/>
                <w:sz w:val="24"/>
                <w:szCs w:val="24"/>
                <w:highlight w:val="none"/>
              </w:rPr>
              <w:t>的，每获得1个得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分，最高得</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1A30A9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Times New Roman" w:hAnsi="Times New Roman" w:eastAsia="宋体"/>
                <w:b/>
                <w:color w:val="auto"/>
                <w:sz w:val="24"/>
                <w:highlight w:val="none"/>
              </w:rPr>
            </w:pPr>
            <w:r>
              <w:rPr>
                <w:rFonts w:hint="eastAsia" w:ascii="Times New Roman" w:hAnsi="Times New Roman" w:eastAsia="宋体"/>
                <w:b/>
                <w:color w:val="auto"/>
                <w:sz w:val="24"/>
                <w:highlight w:val="none"/>
              </w:rPr>
              <w:t>注：</w:t>
            </w:r>
            <w:r>
              <w:rPr>
                <w:rFonts w:hint="eastAsia" w:ascii="Times New Roman" w:hAnsi="Times New Roman" w:eastAsia="宋体"/>
                <w:b/>
                <w:color w:val="auto"/>
                <w:sz w:val="24"/>
                <w:highlight w:val="none"/>
                <w:lang w:val="en-US" w:eastAsia="zh-CN"/>
              </w:rPr>
              <w:t>1、</w:t>
            </w:r>
            <w:r>
              <w:rPr>
                <w:rFonts w:hint="eastAsia" w:ascii="Times New Roman" w:hAnsi="Times New Roman" w:eastAsia="宋体"/>
                <w:b/>
                <w:color w:val="auto"/>
                <w:sz w:val="24"/>
                <w:highlight w:val="none"/>
              </w:rPr>
              <w:t>第</w:t>
            </w:r>
            <w:r>
              <w:rPr>
                <w:rFonts w:hint="eastAsia" w:ascii="Times New Roman" w:hAnsi="Times New Roman" w:eastAsia="宋体"/>
                <w:b/>
                <w:color w:val="auto"/>
                <w:sz w:val="24"/>
                <w:highlight w:val="none"/>
                <w:lang w:val="en-US" w:eastAsia="zh-CN"/>
              </w:rPr>
              <w:t>1</w:t>
            </w:r>
            <w:r>
              <w:rPr>
                <w:rFonts w:hint="eastAsia" w:ascii="Times New Roman" w:hAnsi="Times New Roman" w:eastAsia="宋体"/>
                <w:b/>
                <w:color w:val="auto"/>
                <w:sz w:val="24"/>
                <w:highlight w:val="none"/>
              </w:rPr>
              <w:t>项：响应文件中提供证书扫描件。</w:t>
            </w:r>
          </w:p>
          <w:p w14:paraId="53EEBB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eastAsia="宋体"/>
                <w:b/>
                <w:color w:val="auto"/>
                <w:sz w:val="24"/>
                <w:highlight w:val="none"/>
                <w:lang w:val="en-US" w:eastAsia="zh-CN"/>
              </w:rPr>
            </w:pPr>
            <w:r>
              <w:rPr>
                <w:rFonts w:hint="eastAsia" w:ascii="Times New Roman" w:hAnsi="Times New Roman" w:eastAsia="宋体"/>
                <w:b/>
                <w:color w:val="auto"/>
                <w:sz w:val="24"/>
                <w:highlight w:val="none"/>
                <w:lang w:eastAsia="zh-CN"/>
              </w:rPr>
              <w:t>第</w:t>
            </w:r>
            <w:r>
              <w:rPr>
                <w:rFonts w:hint="eastAsia" w:ascii="Times New Roman" w:hAnsi="Times New Roman" w:eastAsia="宋体"/>
                <w:b/>
                <w:color w:val="auto"/>
                <w:sz w:val="24"/>
                <w:highlight w:val="none"/>
                <w:lang w:val="en-US" w:eastAsia="zh-CN"/>
              </w:rPr>
              <w:t>2项：</w:t>
            </w:r>
            <w:r>
              <w:rPr>
                <w:rFonts w:hint="eastAsia" w:ascii="Times New Roman" w:hAnsi="Times New Roman" w:eastAsia="宋体"/>
                <w:b/>
                <w:color w:val="auto"/>
                <w:sz w:val="24"/>
                <w:highlight w:val="none"/>
              </w:rPr>
              <w:t>响应文件中提供获奖证书、颁奖单位颁奖文件、网上公示截图（具有其中之一即可）等证明材料，以上材料扫描件，须能体现制作人员姓名和新媒体作品名称。</w:t>
            </w:r>
          </w:p>
          <w:p w14:paraId="155F9B23">
            <w:pPr>
              <w:pStyle w:val="17"/>
              <w:widowControl w:val="0"/>
              <w:spacing w:before="0" w:beforeAutospacing="0" w:after="0" w:afterAutospacing="0" w:line="360" w:lineRule="auto"/>
              <w:jc w:val="both"/>
              <w:rPr>
                <w:rFonts w:ascii="宋体" w:hAnsi="宋体" w:eastAsia="宋体"/>
                <w:b/>
                <w:bCs w:val="0"/>
                <w:sz w:val="24"/>
              </w:rPr>
            </w:pPr>
            <w:r>
              <w:rPr>
                <w:rFonts w:hint="eastAsia" w:ascii="Times New Roman" w:hAnsi="Times New Roman" w:eastAsia="宋体"/>
                <w:b/>
                <w:color w:val="auto"/>
                <w:sz w:val="24"/>
                <w:highlight w:val="none"/>
                <w:lang w:val="en-US" w:eastAsia="zh-CN"/>
              </w:rPr>
              <w:t>2</w:t>
            </w:r>
            <w:r>
              <w:rPr>
                <w:rFonts w:hint="eastAsia" w:ascii="Times New Roman" w:hAnsi="Times New Roman" w:eastAsia="宋体"/>
                <w:b/>
                <w:color w:val="auto"/>
                <w:sz w:val="24"/>
                <w:highlight w:val="none"/>
              </w:rPr>
              <w:t>、</w:t>
            </w:r>
            <w:r>
              <w:rPr>
                <w:rFonts w:ascii="Times New Roman" w:hAnsi="Times New Roman" w:eastAsia="宋体"/>
                <w:b/>
                <w:color w:val="auto"/>
                <w:sz w:val="24"/>
                <w:highlight w:val="none"/>
              </w:rPr>
              <w:t>供应商为</w:t>
            </w:r>
            <w:r>
              <w:rPr>
                <w:rFonts w:hint="eastAsia" w:ascii="Times New Roman" w:hAnsi="Times New Roman" w:eastAsia="宋体"/>
                <w:b/>
                <w:color w:val="auto"/>
                <w:sz w:val="24"/>
                <w:highlight w:val="none"/>
              </w:rPr>
              <w:t>上述人员</w:t>
            </w:r>
            <w:r>
              <w:rPr>
                <w:rFonts w:ascii="Times New Roman" w:hAnsi="Times New Roman" w:eastAsia="宋体"/>
                <w:b/>
                <w:color w:val="auto"/>
                <w:sz w:val="24"/>
                <w:highlight w:val="none"/>
              </w:rPr>
              <w:t>缴纳的近3个月内</w:t>
            </w:r>
            <w:r>
              <w:rPr>
                <w:rFonts w:hint="eastAsia" w:ascii="Times New Roman" w:hAnsi="Times New Roman" w:eastAsia="宋体"/>
                <w:b/>
                <w:color w:val="auto"/>
                <w:sz w:val="24"/>
                <w:highlight w:val="none"/>
              </w:rPr>
              <w:t>（任意一个月即可）的</w:t>
            </w:r>
            <w:r>
              <w:rPr>
                <w:rFonts w:ascii="Times New Roman" w:hAnsi="Times New Roman" w:eastAsia="宋体"/>
                <w:b/>
                <w:color w:val="auto"/>
                <w:sz w:val="24"/>
                <w:highlight w:val="none"/>
              </w:rPr>
              <w:t>社保证明材料。</w:t>
            </w:r>
            <w:r>
              <w:rPr>
                <w:rFonts w:hint="eastAsia" w:ascii="宋体" w:hAnsi="宋体" w:eastAsia="宋体"/>
                <w:b/>
                <w:bCs w:val="0"/>
                <w:sz w:val="24"/>
              </w:rPr>
              <w:t>社保</w:t>
            </w:r>
            <w:r>
              <w:rPr>
                <w:rFonts w:ascii="宋体" w:hAnsi="宋体" w:eastAsia="宋体"/>
                <w:b/>
                <w:bCs w:val="0"/>
                <w:sz w:val="24"/>
              </w:rPr>
              <w:t>证明材料</w:t>
            </w:r>
            <w:r>
              <w:rPr>
                <w:rFonts w:hint="eastAsia" w:ascii="宋体" w:hAnsi="宋体" w:eastAsia="宋体"/>
                <w:b/>
                <w:bCs w:val="0"/>
                <w:sz w:val="24"/>
              </w:rPr>
              <w:t>为下述形式之一（</w:t>
            </w:r>
            <w:r>
              <w:rPr>
                <w:rFonts w:hint="eastAsia" w:ascii="宋体" w:hAnsi="宋体" w:eastAsia="宋体"/>
                <w:b/>
                <w:bCs w:val="0"/>
                <w:sz w:val="24"/>
                <w:lang w:val="en-US" w:eastAsia="zh-CN"/>
              </w:rPr>
              <w:t>响应</w:t>
            </w:r>
            <w:r>
              <w:rPr>
                <w:rFonts w:hint="eastAsia" w:ascii="宋体" w:hAnsi="宋体" w:eastAsia="宋体"/>
                <w:b/>
                <w:bCs w:val="0"/>
                <w:sz w:val="24"/>
              </w:rPr>
              <w:t>文件中须提供扫描件）：</w:t>
            </w:r>
          </w:p>
          <w:p w14:paraId="740C886E">
            <w:pPr>
              <w:pStyle w:val="17"/>
              <w:widowControl w:val="0"/>
              <w:spacing w:before="0" w:beforeAutospacing="0" w:after="0" w:afterAutospacing="0" w:line="360" w:lineRule="auto"/>
              <w:jc w:val="both"/>
              <w:rPr>
                <w:rFonts w:ascii="宋体" w:hAnsi="宋体" w:eastAsia="宋体"/>
                <w:b/>
                <w:bCs w:val="0"/>
                <w:sz w:val="24"/>
              </w:rPr>
            </w:pPr>
            <w:r>
              <w:rPr>
                <w:rFonts w:hint="eastAsia" w:ascii="宋体" w:hAnsi="宋体" w:eastAsia="宋体"/>
                <w:b/>
                <w:bCs w:val="0"/>
                <w:sz w:val="24"/>
              </w:rPr>
              <w:t>（1）</w:t>
            </w:r>
            <w:r>
              <w:rPr>
                <w:rFonts w:ascii="宋体" w:hAnsi="宋体" w:eastAsia="宋体"/>
                <w:b/>
                <w:bCs w:val="0"/>
                <w:sz w:val="24"/>
              </w:rPr>
              <w:t>社保局官方网站查询的缴费记录截图；</w:t>
            </w:r>
          </w:p>
          <w:p w14:paraId="4E862C72">
            <w:pPr>
              <w:pStyle w:val="17"/>
              <w:widowControl w:val="0"/>
              <w:spacing w:before="0" w:beforeAutospacing="0" w:after="0" w:afterAutospacing="0" w:line="360" w:lineRule="auto"/>
              <w:jc w:val="both"/>
              <w:rPr>
                <w:rFonts w:ascii="宋体" w:hAnsi="宋体" w:eastAsia="宋体"/>
                <w:b/>
                <w:bCs w:val="0"/>
                <w:sz w:val="24"/>
              </w:rPr>
            </w:pPr>
            <w:r>
              <w:rPr>
                <w:rFonts w:hint="eastAsia" w:ascii="宋体" w:hAnsi="宋体" w:eastAsia="宋体"/>
                <w:b/>
                <w:bCs w:val="0"/>
                <w:sz w:val="24"/>
              </w:rPr>
              <w:t>（2）</w:t>
            </w:r>
            <w:r>
              <w:rPr>
                <w:rFonts w:ascii="宋体" w:hAnsi="宋体" w:eastAsia="宋体"/>
                <w:b/>
                <w:bCs w:val="0"/>
                <w:sz w:val="24"/>
              </w:rPr>
              <w:t>社保局的书面证明材料；</w:t>
            </w:r>
          </w:p>
          <w:p w14:paraId="51F19120">
            <w:pPr>
              <w:pStyle w:val="17"/>
              <w:widowControl w:val="0"/>
              <w:spacing w:before="0" w:beforeAutospacing="0" w:after="0" w:afterAutospacing="0" w:line="360" w:lineRule="auto"/>
              <w:jc w:val="both"/>
              <w:rPr>
                <w:rFonts w:ascii="宋体" w:hAnsi="宋体" w:eastAsia="宋体"/>
                <w:b/>
                <w:bCs w:val="0"/>
                <w:sz w:val="24"/>
              </w:rPr>
            </w:pPr>
            <w:r>
              <w:rPr>
                <w:rFonts w:hint="eastAsia" w:ascii="宋体" w:hAnsi="宋体" w:eastAsia="宋体"/>
                <w:b/>
                <w:bCs w:val="0"/>
                <w:sz w:val="24"/>
              </w:rPr>
              <w:t>（3）</w:t>
            </w:r>
            <w:r>
              <w:rPr>
                <w:rFonts w:ascii="宋体" w:hAnsi="宋体" w:eastAsia="宋体"/>
                <w:b/>
                <w:bCs w:val="0"/>
                <w:sz w:val="24"/>
              </w:rPr>
              <w:t>经</w:t>
            </w:r>
            <w:r>
              <w:rPr>
                <w:rFonts w:hint="eastAsia" w:ascii="宋体" w:hAnsi="宋体" w:eastAsia="宋体"/>
                <w:b/>
                <w:bCs w:val="0"/>
                <w:sz w:val="24"/>
                <w:lang w:val="en-US" w:eastAsia="zh-CN"/>
              </w:rPr>
              <w:t>供应商</w:t>
            </w:r>
            <w:r>
              <w:rPr>
                <w:rFonts w:ascii="宋体" w:hAnsi="宋体" w:eastAsia="宋体"/>
                <w:b/>
                <w:bCs w:val="0"/>
                <w:sz w:val="24"/>
              </w:rPr>
              <w:t>委托的第三方人力资源服务机构或与</w:t>
            </w:r>
            <w:r>
              <w:rPr>
                <w:rFonts w:hint="eastAsia" w:ascii="宋体" w:hAnsi="宋体" w:eastAsia="宋体"/>
                <w:b/>
                <w:bCs w:val="0"/>
                <w:sz w:val="24"/>
                <w:lang w:val="en-US" w:eastAsia="zh-CN"/>
              </w:rPr>
              <w:t>供应商</w:t>
            </w:r>
            <w:r>
              <w:rPr>
                <w:rFonts w:ascii="宋体" w:hAnsi="宋体" w:eastAsia="宋体"/>
                <w:b/>
                <w:bCs w:val="0"/>
                <w:sz w:val="24"/>
              </w:rPr>
              <w:t>有直接隶属关系的机构可以代缴社保，但须提供有关证明材料并经</w:t>
            </w:r>
            <w:r>
              <w:rPr>
                <w:rFonts w:hint="eastAsia" w:ascii="宋体" w:hAnsi="宋体" w:eastAsia="宋体"/>
                <w:b/>
                <w:bCs w:val="0"/>
                <w:sz w:val="24"/>
                <w:lang w:val="en-US" w:eastAsia="zh-CN"/>
              </w:rPr>
              <w:t>评审小组</w:t>
            </w:r>
            <w:r>
              <w:rPr>
                <w:rFonts w:ascii="宋体" w:hAnsi="宋体" w:eastAsia="宋体"/>
                <w:b/>
                <w:bCs w:val="0"/>
                <w:sz w:val="24"/>
              </w:rPr>
              <w:t>确认。</w:t>
            </w:r>
          </w:p>
          <w:p w14:paraId="7D6F9084">
            <w:pPr>
              <w:pStyle w:val="17"/>
              <w:widowControl w:val="0"/>
              <w:spacing w:before="0" w:beforeAutospacing="0" w:after="0" w:afterAutospacing="0" w:line="360" w:lineRule="auto"/>
              <w:jc w:val="both"/>
              <w:rPr>
                <w:rFonts w:ascii="宋体" w:hAnsi="宋体" w:eastAsia="宋体"/>
                <w:b/>
                <w:bCs w:val="0"/>
                <w:sz w:val="24"/>
              </w:rPr>
            </w:pPr>
            <w:r>
              <w:rPr>
                <w:rFonts w:hint="eastAsia" w:ascii="宋体" w:hAnsi="宋体" w:eastAsia="宋体"/>
                <w:b/>
                <w:bCs w:val="0"/>
                <w:sz w:val="24"/>
              </w:rPr>
              <w:t>（</w:t>
            </w:r>
            <w:r>
              <w:rPr>
                <w:rFonts w:hint="eastAsia" w:ascii="宋体" w:hAnsi="宋体" w:eastAsia="宋体"/>
                <w:b/>
                <w:bCs w:val="0"/>
                <w:sz w:val="24"/>
                <w:lang w:val="en-US" w:eastAsia="zh-CN"/>
              </w:rPr>
              <w:t>4</w:t>
            </w:r>
            <w:r>
              <w:rPr>
                <w:rFonts w:hint="eastAsia" w:ascii="宋体" w:hAnsi="宋体" w:eastAsia="宋体"/>
                <w:b/>
                <w:bCs w:val="0"/>
                <w:sz w:val="24"/>
              </w:rPr>
              <w:t>）</w:t>
            </w:r>
            <w:r>
              <w:rPr>
                <w:rFonts w:ascii="宋体" w:hAnsi="宋体" w:eastAsia="宋体"/>
                <w:b/>
                <w:bCs w:val="0"/>
                <w:sz w:val="24"/>
              </w:rPr>
              <w:t>其他经</w:t>
            </w:r>
            <w:r>
              <w:rPr>
                <w:rFonts w:hint="eastAsia" w:ascii="宋体" w:hAnsi="宋体" w:eastAsia="宋体"/>
                <w:b/>
                <w:bCs w:val="0"/>
                <w:sz w:val="24"/>
                <w:lang w:val="en-US" w:eastAsia="zh-CN"/>
              </w:rPr>
              <w:t>评审小组</w:t>
            </w:r>
            <w:r>
              <w:rPr>
                <w:rFonts w:ascii="宋体" w:hAnsi="宋体" w:eastAsia="宋体"/>
                <w:b/>
                <w:bCs w:val="0"/>
                <w:sz w:val="24"/>
              </w:rPr>
              <w:t>认可的证明材料。</w:t>
            </w:r>
          </w:p>
          <w:p w14:paraId="7B97F288">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default" w:ascii="Times New Roman" w:hAnsi="Times New Roman" w:eastAsia="宋体" w:cstheme="minorBidi"/>
                <w:b/>
                <w:color w:val="auto"/>
                <w:kern w:val="2"/>
                <w:sz w:val="24"/>
                <w:szCs w:val="22"/>
                <w:highlight w:val="none"/>
                <w:lang w:val="en-US" w:eastAsia="zh-CN" w:bidi="ar-SA"/>
              </w:rPr>
            </w:pPr>
            <w:r>
              <w:rPr>
                <w:rFonts w:hint="eastAsia" w:ascii="宋体" w:hAnsi="宋体" w:eastAsia="宋体"/>
                <w:b/>
                <w:bCs w:val="0"/>
                <w:iCs/>
                <w:sz w:val="24"/>
              </w:rPr>
              <w:t>（</w:t>
            </w:r>
            <w:r>
              <w:rPr>
                <w:rFonts w:hint="eastAsia" w:ascii="宋体" w:hAnsi="宋体" w:eastAsia="宋体"/>
                <w:b/>
                <w:bCs w:val="0"/>
                <w:iCs/>
                <w:sz w:val="24"/>
                <w:lang w:val="en-US" w:eastAsia="zh-CN"/>
              </w:rPr>
              <w:t>5</w:t>
            </w:r>
            <w:r>
              <w:rPr>
                <w:rFonts w:hint="eastAsia" w:ascii="宋体" w:hAnsi="宋体" w:eastAsia="宋体"/>
                <w:b/>
                <w:bCs w:val="0"/>
                <w:iCs/>
                <w:sz w:val="24"/>
              </w:rPr>
              <w:t>）法定代表人参与项目的，无需提供社保证明材料，提供身份证明材料即可。</w:t>
            </w:r>
            <w:r>
              <w:rPr>
                <w:rFonts w:hint="eastAsia" w:ascii="Times New Roman" w:hAnsi="Times New Roman" w:eastAsia="宋体" w:cs="Times New Roman"/>
                <w:b/>
                <w:bCs/>
                <w:color w:val="auto"/>
                <w:kern w:val="0"/>
                <w:sz w:val="24"/>
                <w:szCs w:val="28"/>
                <w:highlight w:val="none"/>
                <w:lang w:val="en-US" w:eastAsia="zh-CN" w:bidi="ar-SA"/>
              </w:rPr>
              <w:t>3、</w:t>
            </w:r>
            <w:r>
              <w:rPr>
                <w:rFonts w:hint="eastAsia" w:ascii="Times New Roman" w:hAnsi="Times New Roman" w:eastAsia="宋体" w:cstheme="minorBidi"/>
                <w:b/>
                <w:color w:val="auto"/>
                <w:kern w:val="2"/>
                <w:sz w:val="24"/>
                <w:szCs w:val="22"/>
                <w:highlight w:val="none"/>
                <w:lang w:val="en-US" w:eastAsia="zh-CN" w:bidi="ar-SA"/>
              </w:rPr>
              <w:t>法人组织是指具有</w:t>
            </w:r>
            <w:r>
              <w:rPr>
                <w:rFonts w:hint="default" w:ascii="Times New Roman" w:hAnsi="Times New Roman" w:eastAsia="宋体" w:cstheme="minorBidi"/>
                <w:b/>
                <w:color w:val="auto"/>
                <w:kern w:val="2"/>
                <w:sz w:val="24"/>
                <w:szCs w:val="22"/>
                <w:highlight w:val="none"/>
                <w:lang w:val="en-US" w:eastAsia="zh-CN" w:bidi="ar-SA"/>
              </w:rPr>
              <w:fldChar w:fldCharType="begin"/>
            </w:r>
            <w:r>
              <w:rPr>
                <w:rFonts w:hint="default" w:ascii="Times New Roman" w:hAnsi="Times New Roman" w:eastAsia="宋体" w:cstheme="minorBidi"/>
                <w:b/>
                <w:color w:val="auto"/>
                <w:kern w:val="2"/>
                <w:sz w:val="24"/>
                <w:szCs w:val="22"/>
                <w:highlight w:val="none"/>
                <w:lang w:val="en-US" w:eastAsia="zh-CN" w:bidi="ar-SA"/>
              </w:rPr>
              <w:instrText xml:space="preserve"> HYPERLINK "https://baike.baidu.com/item/%E6%B3%95%E4%BA%BA%E4%BA%BA%E6%A0%BC/5433018?fromModule=lemma_inlink" \t "https://baike.baidu.com/item/%E6%B3%95%E4%BA%BA%E7%BB%84%E7%BB%87/_blank" </w:instrText>
            </w:r>
            <w:r>
              <w:rPr>
                <w:rFonts w:hint="default" w:ascii="Times New Roman" w:hAnsi="Times New Roman" w:eastAsia="宋体" w:cstheme="minorBidi"/>
                <w:b/>
                <w:color w:val="auto"/>
                <w:kern w:val="2"/>
                <w:sz w:val="24"/>
                <w:szCs w:val="22"/>
                <w:highlight w:val="none"/>
                <w:lang w:val="en-US" w:eastAsia="zh-CN" w:bidi="ar-SA"/>
              </w:rPr>
              <w:fldChar w:fldCharType="separate"/>
            </w:r>
            <w:r>
              <w:rPr>
                <w:rFonts w:hint="default" w:ascii="Times New Roman" w:hAnsi="Times New Roman" w:eastAsia="宋体" w:cstheme="minorBidi"/>
                <w:b/>
                <w:color w:val="auto"/>
                <w:kern w:val="2"/>
                <w:sz w:val="24"/>
                <w:szCs w:val="22"/>
                <w:highlight w:val="none"/>
                <w:lang w:val="en-US" w:eastAsia="zh-CN" w:bidi="ar-SA"/>
              </w:rPr>
              <w:t>法人人格</w:t>
            </w:r>
            <w:r>
              <w:rPr>
                <w:rFonts w:hint="default" w:ascii="Times New Roman" w:hAnsi="Times New Roman" w:eastAsia="宋体" w:cstheme="minorBidi"/>
                <w:b/>
                <w:color w:val="auto"/>
                <w:kern w:val="2"/>
                <w:sz w:val="24"/>
                <w:szCs w:val="22"/>
                <w:highlight w:val="none"/>
                <w:lang w:val="en-US" w:eastAsia="zh-CN" w:bidi="ar-SA"/>
              </w:rPr>
              <w:fldChar w:fldCharType="end"/>
            </w:r>
            <w:r>
              <w:rPr>
                <w:rFonts w:hint="default" w:ascii="Times New Roman" w:hAnsi="Times New Roman" w:eastAsia="宋体" w:cstheme="minorBidi"/>
                <w:b/>
                <w:color w:val="auto"/>
                <w:kern w:val="2"/>
                <w:sz w:val="24"/>
                <w:szCs w:val="22"/>
                <w:highlight w:val="none"/>
                <w:lang w:val="en-US" w:eastAsia="zh-CN" w:bidi="ar-SA"/>
              </w:rPr>
              <w:t>，享有民事权利和承担</w:t>
            </w:r>
            <w:r>
              <w:rPr>
                <w:rFonts w:hint="default" w:ascii="Times New Roman" w:hAnsi="Times New Roman" w:eastAsia="宋体" w:cstheme="minorBidi"/>
                <w:b/>
                <w:color w:val="auto"/>
                <w:kern w:val="2"/>
                <w:sz w:val="24"/>
                <w:szCs w:val="22"/>
                <w:highlight w:val="none"/>
                <w:lang w:val="en-US" w:eastAsia="zh-CN" w:bidi="ar-SA"/>
              </w:rPr>
              <w:fldChar w:fldCharType="begin"/>
            </w:r>
            <w:r>
              <w:rPr>
                <w:rFonts w:hint="default" w:ascii="Times New Roman" w:hAnsi="Times New Roman" w:eastAsia="宋体" w:cstheme="minorBidi"/>
                <w:b/>
                <w:color w:val="auto"/>
                <w:kern w:val="2"/>
                <w:sz w:val="24"/>
                <w:szCs w:val="22"/>
                <w:highlight w:val="none"/>
                <w:lang w:val="en-US" w:eastAsia="zh-CN" w:bidi="ar-SA"/>
              </w:rPr>
              <w:instrText xml:space="preserve"> HYPERLINK "https://baike.baidu.com/item/%E6%B0%91%E4%BA%8B%E4%B9%89%E5%8A%A1/8920556?fromModule=lemma_inlink" \t "https://baike.baidu.com/item/%E6%B3%95%E4%BA%BA%E7%BB%84%E7%BB%87/_blank" </w:instrText>
            </w:r>
            <w:r>
              <w:rPr>
                <w:rFonts w:hint="default" w:ascii="Times New Roman" w:hAnsi="Times New Roman" w:eastAsia="宋体" w:cstheme="minorBidi"/>
                <w:b/>
                <w:color w:val="auto"/>
                <w:kern w:val="2"/>
                <w:sz w:val="24"/>
                <w:szCs w:val="22"/>
                <w:highlight w:val="none"/>
                <w:lang w:val="en-US" w:eastAsia="zh-CN" w:bidi="ar-SA"/>
              </w:rPr>
              <w:fldChar w:fldCharType="separate"/>
            </w:r>
            <w:r>
              <w:rPr>
                <w:rFonts w:hint="default" w:ascii="Times New Roman" w:hAnsi="Times New Roman" w:eastAsia="宋体" w:cstheme="minorBidi"/>
                <w:b/>
                <w:color w:val="auto"/>
                <w:kern w:val="2"/>
                <w:sz w:val="24"/>
                <w:szCs w:val="22"/>
                <w:highlight w:val="none"/>
                <w:lang w:val="en-US" w:eastAsia="zh-CN" w:bidi="ar-SA"/>
              </w:rPr>
              <w:t>民事义务</w:t>
            </w:r>
            <w:r>
              <w:rPr>
                <w:rFonts w:hint="default" w:ascii="Times New Roman" w:hAnsi="Times New Roman" w:eastAsia="宋体" w:cstheme="minorBidi"/>
                <w:b/>
                <w:color w:val="auto"/>
                <w:kern w:val="2"/>
                <w:sz w:val="24"/>
                <w:szCs w:val="22"/>
                <w:highlight w:val="none"/>
                <w:lang w:val="en-US" w:eastAsia="zh-CN" w:bidi="ar-SA"/>
              </w:rPr>
              <w:fldChar w:fldCharType="end"/>
            </w:r>
            <w:r>
              <w:rPr>
                <w:rFonts w:hint="default" w:ascii="Times New Roman" w:hAnsi="Times New Roman" w:eastAsia="宋体" w:cstheme="minorBidi"/>
                <w:b/>
                <w:color w:val="auto"/>
                <w:kern w:val="2"/>
                <w:sz w:val="24"/>
                <w:szCs w:val="22"/>
                <w:highlight w:val="none"/>
                <w:lang w:val="en-US" w:eastAsia="zh-CN" w:bidi="ar-SA"/>
              </w:rPr>
              <w:t>的国家机关、社会团体、企业和事业单位等。</w:t>
            </w:r>
          </w:p>
          <w:p w14:paraId="24F2D003">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Times New Roman" w:hAnsi="Times New Roman" w:eastAsia="宋体"/>
                <w:b/>
                <w:color w:val="auto"/>
                <w:sz w:val="24"/>
                <w:highlight w:val="none"/>
                <w:lang w:val="en-US" w:eastAsia="zh-CN"/>
              </w:rPr>
            </w:pPr>
            <w:r>
              <w:rPr>
                <w:rFonts w:hint="eastAsia" w:ascii="Times New Roman" w:hAnsi="Times New Roman" w:eastAsia="宋体"/>
                <w:b/>
                <w:color w:val="auto"/>
                <w:sz w:val="24"/>
                <w:highlight w:val="none"/>
                <w:lang w:val="en-US" w:eastAsia="zh-CN"/>
              </w:rPr>
              <w:t>4、</w:t>
            </w:r>
            <w:r>
              <w:rPr>
                <w:rFonts w:hint="eastAsia" w:ascii="Times New Roman" w:hAnsi="Times New Roman" w:eastAsia="宋体"/>
                <w:b/>
                <w:color w:val="auto"/>
                <w:sz w:val="24"/>
                <w:highlight w:val="none"/>
              </w:rPr>
              <w:t>奖项的级别以国家行政区划为界定，如：地级市、自治州、地区、盟政府部门和冠以地级市、自治州、地区、盟的协会（学会）颁发的视为地市级，以此类推。协会级别以民政部门登记地所在级别为准。</w:t>
            </w:r>
          </w:p>
          <w:p w14:paraId="1CE9BB63">
            <w:pPr>
              <w:autoSpaceDE w:val="0"/>
              <w:autoSpaceDN w:val="0"/>
              <w:adjustRightInd w:val="0"/>
              <w:spacing w:line="360" w:lineRule="auto"/>
              <w:rPr>
                <w:rFonts w:ascii="宋体" w:hAnsi="宋体" w:eastAsia="宋体"/>
                <w:sz w:val="24"/>
              </w:rPr>
            </w:pPr>
            <w:r>
              <w:rPr>
                <w:rFonts w:hint="eastAsia" w:ascii="Times New Roman" w:hAnsi="Times New Roman" w:eastAsia="宋体"/>
                <w:b/>
                <w:color w:val="auto"/>
                <w:sz w:val="24"/>
                <w:highlight w:val="none"/>
                <w:lang w:val="en-US" w:eastAsia="zh-CN"/>
              </w:rPr>
              <w:t>5、</w:t>
            </w:r>
            <w:r>
              <w:rPr>
                <w:rFonts w:hint="eastAsia" w:ascii="Times New Roman" w:hAnsi="Times New Roman" w:eastAsia="宋体"/>
                <w:b/>
                <w:color w:val="auto"/>
                <w:sz w:val="24"/>
                <w:highlight w:val="none"/>
              </w:rPr>
              <w:t>“国内依法登记注册”以全国社会组织信用信息公示平台查询结果为准。民政部公布的“离岸社团”“山寨社团”或全国社会组织信用信息公示平台公示的“涉嫌非法社会组织”颁发的荣誉、奖励均无效。</w:t>
            </w:r>
          </w:p>
        </w:tc>
        <w:tc>
          <w:tcPr>
            <w:tcW w:w="1023" w:type="dxa"/>
            <w:tcBorders>
              <w:top w:val="single" w:color="auto" w:sz="4" w:space="0"/>
              <w:left w:val="single" w:color="auto" w:sz="4" w:space="0"/>
              <w:bottom w:val="single" w:color="auto" w:sz="4" w:space="0"/>
              <w:right w:val="single" w:color="auto" w:sz="4" w:space="0"/>
            </w:tcBorders>
            <w:vAlign w:val="center"/>
          </w:tcPr>
          <w:p w14:paraId="7091348B">
            <w:pPr>
              <w:spacing w:line="360" w:lineRule="auto"/>
              <w:rPr>
                <w:rFonts w:ascii="宋体" w:hAnsi="宋体" w:eastAsia="宋体"/>
                <w:sz w:val="24"/>
                <w:szCs w:val="24"/>
              </w:rPr>
            </w:pPr>
            <w:r>
              <w:rPr>
                <w:rFonts w:hint="eastAsia" w:ascii="宋体" w:hAnsi="宋体" w:eastAsia="宋体"/>
                <w:sz w:val="24"/>
              </w:rPr>
              <w:t>0-10分</w:t>
            </w:r>
          </w:p>
        </w:tc>
      </w:tr>
      <w:tr w14:paraId="5E811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31DA0DB9">
            <w:pPr>
              <w:spacing w:line="360" w:lineRule="auto"/>
              <w:ind w:firstLine="435"/>
              <w:jc w:val="center"/>
              <w:rPr>
                <w:rFonts w:ascii="宋体" w:hAnsi="宋体" w:eastAsia="宋体"/>
                <w:b/>
                <w:bCs/>
                <w:sz w:val="24"/>
              </w:rPr>
            </w:pPr>
          </w:p>
        </w:tc>
        <w:tc>
          <w:tcPr>
            <w:tcW w:w="1266" w:type="dxa"/>
            <w:tcBorders>
              <w:top w:val="single" w:color="auto" w:sz="4" w:space="0"/>
              <w:left w:val="single" w:color="auto" w:sz="4" w:space="0"/>
              <w:bottom w:val="single" w:color="auto" w:sz="4" w:space="0"/>
              <w:right w:val="single" w:color="auto" w:sz="4" w:space="0"/>
            </w:tcBorders>
            <w:vAlign w:val="center"/>
          </w:tcPr>
          <w:p w14:paraId="0F23500A">
            <w:pPr>
              <w:spacing w:line="360" w:lineRule="auto"/>
              <w:jc w:val="center"/>
              <w:rPr>
                <w:rFonts w:hint="eastAsia" w:ascii="宋体" w:hAnsi="宋体" w:eastAsia="宋体"/>
                <w:sz w:val="24"/>
                <w:lang w:val="en-US" w:eastAsia="zh-CN"/>
              </w:rPr>
            </w:pPr>
            <w:r>
              <w:rPr>
                <w:rFonts w:hint="eastAsia" w:ascii="宋体" w:hAnsi="宋体" w:eastAsia="宋体"/>
                <w:sz w:val="24"/>
                <w:lang w:val="en-US" w:eastAsia="zh-CN"/>
              </w:rPr>
              <w:t>供应商</w:t>
            </w:r>
          </w:p>
          <w:p w14:paraId="31AD5588">
            <w:pPr>
              <w:spacing w:line="360" w:lineRule="auto"/>
              <w:jc w:val="center"/>
              <w:rPr>
                <w:rFonts w:hint="default" w:ascii="宋体" w:hAnsi="宋体" w:eastAsia="宋体"/>
                <w:sz w:val="24"/>
                <w:lang w:val="en-US" w:eastAsia="zh-CN"/>
              </w:rPr>
            </w:pPr>
            <w:r>
              <w:rPr>
                <w:rFonts w:hint="eastAsia" w:ascii="宋体" w:hAnsi="宋体" w:eastAsia="宋体"/>
                <w:sz w:val="24"/>
                <w:lang w:val="en-US" w:eastAsia="zh-CN"/>
              </w:rPr>
              <w:t>实力</w:t>
            </w:r>
          </w:p>
        </w:tc>
        <w:tc>
          <w:tcPr>
            <w:tcW w:w="4755" w:type="dxa"/>
            <w:tcBorders>
              <w:top w:val="single" w:color="auto" w:sz="4" w:space="0"/>
              <w:left w:val="single" w:color="auto" w:sz="4" w:space="0"/>
              <w:bottom w:val="single" w:color="auto" w:sz="4" w:space="0"/>
              <w:right w:val="single" w:color="auto" w:sz="4" w:space="0"/>
            </w:tcBorders>
            <w:vAlign w:val="center"/>
          </w:tcPr>
          <w:p w14:paraId="3CE5DF94">
            <w:pPr>
              <w:spacing w:line="360" w:lineRule="auto"/>
              <w:rPr>
                <w:rFonts w:hint="eastAsia" w:ascii="宋体" w:hAnsi="宋体" w:eastAsia="宋体"/>
                <w:sz w:val="24"/>
                <w:lang w:eastAsia="zh-CN"/>
              </w:rPr>
            </w:pPr>
            <w:r>
              <w:rPr>
                <w:rFonts w:hint="eastAsia" w:ascii="宋体" w:hAnsi="宋体" w:eastAsia="宋体"/>
                <w:sz w:val="24"/>
              </w:rPr>
              <w:t>供应商具有能为本项目提供服务的自有宣传平台，如网站、报纸、官方微博、官方微信公众号</w:t>
            </w:r>
            <w:r>
              <w:rPr>
                <w:rFonts w:hint="eastAsia" w:ascii="宋体" w:hAnsi="宋体" w:eastAsia="宋体"/>
                <w:sz w:val="24"/>
                <w:lang w:eastAsia="zh-CN"/>
              </w:rPr>
              <w:t>、</w:t>
            </w:r>
            <w:r>
              <w:rPr>
                <w:rFonts w:hint="eastAsia" w:ascii="宋体" w:hAnsi="宋体" w:eastAsia="宋体"/>
                <w:sz w:val="24"/>
                <w:lang w:val="en-US" w:eastAsia="zh-CN"/>
              </w:rPr>
              <w:t>官方微信小程序</w:t>
            </w:r>
            <w:r>
              <w:rPr>
                <w:rFonts w:hint="eastAsia" w:ascii="宋体" w:hAnsi="宋体" w:eastAsia="宋体"/>
                <w:sz w:val="24"/>
              </w:rPr>
              <w:t>、官方抖音号</w:t>
            </w:r>
            <w:r>
              <w:rPr>
                <w:rFonts w:hint="eastAsia" w:ascii="宋体" w:hAnsi="宋体" w:eastAsia="宋体"/>
                <w:sz w:val="24"/>
                <w:lang w:eastAsia="zh-CN"/>
              </w:rPr>
              <w:t>、</w:t>
            </w:r>
            <w:r>
              <w:rPr>
                <w:rFonts w:hint="eastAsia" w:ascii="宋体" w:hAnsi="宋体" w:eastAsia="宋体"/>
                <w:sz w:val="24"/>
                <w:lang w:val="en-US" w:eastAsia="zh-CN"/>
              </w:rPr>
              <w:t>官方小红书账号</w:t>
            </w:r>
            <w:r>
              <w:rPr>
                <w:rFonts w:hint="eastAsia" w:ascii="宋体" w:hAnsi="宋体" w:eastAsia="宋体"/>
                <w:sz w:val="24"/>
              </w:rPr>
              <w:t>，每提供一个得2分，满分10分</w:t>
            </w:r>
            <w:r>
              <w:rPr>
                <w:rFonts w:hint="eastAsia" w:ascii="宋体" w:hAnsi="宋体" w:eastAsia="宋体"/>
                <w:sz w:val="24"/>
                <w:lang w:eastAsia="zh-CN"/>
              </w:rPr>
              <w:t>。</w:t>
            </w:r>
          </w:p>
          <w:p w14:paraId="3EE35E51">
            <w:pPr>
              <w:spacing w:line="360" w:lineRule="auto"/>
              <w:rPr>
                <w:rFonts w:ascii="宋体" w:hAnsi="宋体" w:eastAsia="宋体"/>
                <w:sz w:val="24"/>
              </w:rPr>
            </w:pPr>
            <w:r>
              <w:rPr>
                <w:rFonts w:hint="eastAsia" w:ascii="宋体" w:hAnsi="宋体" w:eastAsia="宋体"/>
                <w:b/>
                <w:bCs/>
                <w:sz w:val="24"/>
              </w:rPr>
              <w:t>注:响应文件中需提供供应商自有宣传平台截图(须能体现供应商名称等，不能直接体现的需提供相关证明)，未提供或提供不全的不得分。</w:t>
            </w:r>
          </w:p>
        </w:tc>
        <w:tc>
          <w:tcPr>
            <w:tcW w:w="1023" w:type="dxa"/>
            <w:tcBorders>
              <w:top w:val="single" w:color="auto" w:sz="4" w:space="0"/>
              <w:left w:val="single" w:color="auto" w:sz="4" w:space="0"/>
              <w:bottom w:val="single" w:color="auto" w:sz="4" w:space="0"/>
              <w:right w:val="single" w:color="auto" w:sz="4" w:space="0"/>
            </w:tcBorders>
            <w:vAlign w:val="center"/>
          </w:tcPr>
          <w:p w14:paraId="3A0F0F6E">
            <w:pPr>
              <w:spacing w:line="360" w:lineRule="auto"/>
              <w:rPr>
                <w:rFonts w:ascii="宋体" w:hAnsi="宋体" w:eastAsia="宋体"/>
                <w:b/>
                <w:bCs/>
                <w:sz w:val="24"/>
              </w:rPr>
            </w:pPr>
            <w:r>
              <w:rPr>
                <w:rFonts w:hint="eastAsia" w:ascii="宋体" w:hAnsi="宋体" w:eastAsia="宋体"/>
                <w:sz w:val="24"/>
              </w:rPr>
              <w:t>0-</w:t>
            </w:r>
            <w:r>
              <w:rPr>
                <w:rFonts w:hint="eastAsia" w:ascii="宋体" w:hAnsi="宋体" w:eastAsia="宋体"/>
                <w:sz w:val="24"/>
                <w:lang w:val="en-US" w:eastAsia="zh-CN"/>
              </w:rPr>
              <w:t>10</w:t>
            </w:r>
            <w:r>
              <w:rPr>
                <w:rFonts w:hint="eastAsia" w:ascii="宋体" w:hAnsi="宋体" w:eastAsia="宋体"/>
                <w:sz w:val="24"/>
              </w:rPr>
              <w:t>分</w:t>
            </w:r>
          </w:p>
        </w:tc>
      </w:tr>
      <w:tr w14:paraId="4C93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1" w:hRule="atLeast"/>
          <w:jc w:val="center"/>
        </w:trPr>
        <w:tc>
          <w:tcPr>
            <w:tcW w:w="1478" w:type="dxa"/>
            <w:vMerge w:val="continue"/>
            <w:tcBorders>
              <w:left w:val="single" w:color="auto" w:sz="4" w:space="0"/>
              <w:right w:val="single" w:color="auto" w:sz="4" w:space="0"/>
            </w:tcBorders>
            <w:vAlign w:val="center"/>
          </w:tcPr>
          <w:p w14:paraId="78FD748B">
            <w:pPr>
              <w:spacing w:line="360" w:lineRule="auto"/>
              <w:ind w:firstLine="435"/>
              <w:jc w:val="center"/>
              <w:rPr>
                <w:rFonts w:ascii="宋体" w:hAnsi="宋体" w:eastAsia="宋体"/>
                <w:b/>
                <w:bCs/>
                <w:sz w:val="24"/>
              </w:rPr>
            </w:pPr>
          </w:p>
        </w:tc>
        <w:tc>
          <w:tcPr>
            <w:tcW w:w="1266" w:type="dxa"/>
            <w:tcBorders>
              <w:top w:val="single" w:color="auto" w:sz="4" w:space="0"/>
              <w:left w:val="single" w:color="auto" w:sz="4" w:space="0"/>
              <w:bottom w:val="single" w:color="auto" w:sz="4" w:space="0"/>
              <w:right w:val="single" w:color="auto" w:sz="4" w:space="0"/>
            </w:tcBorders>
            <w:vAlign w:val="center"/>
          </w:tcPr>
          <w:p w14:paraId="26CB6643">
            <w:pPr>
              <w:spacing w:line="360" w:lineRule="auto"/>
              <w:rPr>
                <w:rFonts w:ascii="宋体" w:hAnsi="宋体" w:eastAsia="宋体"/>
                <w:bCs/>
                <w:sz w:val="24"/>
              </w:rPr>
            </w:pPr>
            <w:r>
              <w:rPr>
                <w:rFonts w:hint="eastAsia" w:ascii="宋体" w:hAnsi="宋体" w:eastAsia="宋体"/>
                <w:sz w:val="24"/>
              </w:rPr>
              <w:t>媒体资质</w:t>
            </w:r>
          </w:p>
        </w:tc>
        <w:tc>
          <w:tcPr>
            <w:tcW w:w="4755" w:type="dxa"/>
            <w:tcBorders>
              <w:top w:val="single" w:color="auto" w:sz="4" w:space="0"/>
              <w:left w:val="single" w:color="auto" w:sz="4" w:space="0"/>
              <w:bottom w:val="single" w:color="auto" w:sz="4" w:space="0"/>
              <w:right w:val="single" w:color="auto" w:sz="4" w:space="0"/>
            </w:tcBorders>
            <w:vAlign w:val="center"/>
          </w:tcPr>
          <w:p w14:paraId="67C06456">
            <w:pPr>
              <w:spacing w:line="360" w:lineRule="auto"/>
              <w:rPr>
                <w:rFonts w:hint="eastAsia" w:ascii="宋体" w:hAnsi="宋体" w:eastAsia="宋体"/>
                <w:sz w:val="24"/>
              </w:rPr>
            </w:pPr>
            <w:r>
              <w:rPr>
                <w:rFonts w:hint="eastAsia" w:ascii="宋体" w:hAnsi="宋体" w:eastAsia="宋体"/>
                <w:sz w:val="24"/>
              </w:rPr>
              <w:t>1、供应商具有互联网新闻信息服务许可证，得</w:t>
            </w:r>
            <w:r>
              <w:rPr>
                <w:rFonts w:hint="eastAsia" w:ascii="宋体" w:hAnsi="宋体" w:eastAsia="宋体"/>
                <w:sz w:val="24"/>
                <w:lang w:val="en-US" w:eastAsia="zh-CN"/>
              </w:rPr>
              <w:t>3</w:t>
            </w:r>
            <w:r>
              <w:rPr>
                <w:rFonts w:hint="eastAsia" w:ascii="宋体" w:hAnsi="宋体" w:eastAsia="宋体"/>
                <w:sz w:val="24"/>
              </w:rPr>
              <w:t xml:space="preserve">分； </w:t>
            </w:r>
          </w:p>
          <w:p w14:paraId="40BBCBFA">
            <w:pPr>
              <w:spacing w:line="360" w:lineRule="auto"/>
              <w:rPr>
                <w:rFonts w:hint="eastAsia" w:ascii="宋体" w:hAnsi="宋体" w:eastAsia="宋体"/>
                <w:sz w:val="24"/>
              </w:rPr>
            </w:pPr>
            <w:r>
              <w:rPr>
                <w:rFonts w:hint="eastAsia" w:ascii="宋体" w:hAnsi="宋体" w:eastAsia="宋体"/>
                <w:sz w:val="24"/>
              </w:rPr>
              <w:t>2、供应商具有信息网络传播视听节目许可证，得</w:t>
            </w:r>
            <w:r>
              <w:rPr>
                <w:rFonts w:hint="eastAsia" w:ascii="宋体" w:hAnsi="宋体" w:eastAsia="宋体"/>
                <w:sz w:val="24"/>
                <w:lang w:val="en-US" w:eastAsia="zh-CN"/>
              </w:rPr>
              <w:t>3</w:t>
            </w:r>
            <w:r>
              <w:rPr>
                <w:rFonts w:hint="eastAsia" w:ascii="宋体" w:hAnsi="宋体" w:eastAsia="宋体"/>
                <w:sz w:val="24"/>
              </w:rPr>
              <w:t xml:space="preserve">分； </w:t>
            </w:r>
          </w:p>
          <w:p w14:paraId="37D704D2">
            <w:pPr>
              <w:spacing w:line="360" w:lineRule="auto"/>
              <w:rPr>
                <w:rFonts w:hint="eastAsia" w:ascii="宋体" w:hAnsi="宋体" w:eastAsia="宋体"/>
                <w:sz w:val="24"/>
              </w:rPr>
            </w:pPr>
            <w:r>
              <w:rPr>
                <w:rFonts w:hint="eastAsia" w:ascii="宋体" w:hAnsi="宋体" w:eastAsia="宋体"/>
                <w:sz w:val="24"/>
              </w:rPr>
              <w:t>3、供应商入选国家网信办发布的可供网站转载新闻的新闻单位名单，得</w:t>
            </w:r>
            <w:r>
              <w:rPr>
                <w:rFonts w:hint="eastAsia" w:ascii="宋体" w:hAnsi="宋体" w:eastAsia="宋体"/>
                <w:sz w:val="24"/>
                <w:lang w:val="en-US" w:eastAsia="zh-CN"/>
              </w:rPr>
              <w:t>4</w:t>
            </w:r>
            <w:r>
              <w:rPr>
                <w:rFonts w:hint="eastAsia" w:ascii="宋体" w:hAnsi="宋体" w:eastAsia="宋体"/>
                <w:sz w:val="24"/>
              </w:rPr>
              <w:t>分；</w:t>
            </w:r>
          </w:p>
          <w:p w14:paraId="5C99843A">
            <w:pPr>
              <w:autoSpaceDE w:val="0"/>
              <w:autoSpaceDN w:val="0"/>
              <w:adjustRightInd w:val="0"/>
              <w:spacing w:line="360" w:lineRule="auto"/>
              <w:jc w:val="left"/>
              <w:rPr>
                <w:rFonts w:ascii="宋体" w:hAnsi="宋体" w:eastAsia="宋体"/>
                <w:sz w:val="24"/>
              </w:rPr>
            </w:pPr>
            <w:r>
              <w:rPr>
                <w:rFonts w:hint="eastAsia" w:ascii="宋体" w:hAnsi="宋体" w:eastAsia="宋体"/>
                <w:b/>
                <w:bCs/>
                <w:sz w:val="24"/>
              </w:rPr>
              <w:t>注：响应文件中提供以上证书的扫描件。</w:t>
            </w:r>
          </w:p>
        </w:tc>
        <w:tc>
          <w:tcPr>
            <w:tcW w:w="1023" w:type="dxa"/>
            <w:tcBorders>
              <w:top w:val="single" w:color="auto" w:sz="4" w:space="0"/>
              <w:left w:val="single" w:color="auto" w:sz="4" w:space="0"/>
              <w:bottom w:val="single" w:color="auto" w:sz="4" w:space="0"/>
              <w:right w:val="single" w:color="auto" w:sz="4" w:space="0"/>
            </w:tcBorders>
            <w:vAlign w:val="center"/>
          </w:tcPr>
          <w:p w14:paraId="27E5275F">
            <w:pPr>
              <w:spacing w:line="360" w:lineRule="auto"/>
              <w:rPr>
                <w:rFonts w:ascii="宋体" w:hAnsi="宋体" w:eastAsia="宋体"/>
                <w:b/>
                <w:bCs/>
                <w:sz w:val="24"/>
              </w:rPr>
            </w:pPr>
            <w:r>
              <w:rPr>
                <w:rFonts w:hint="eastAsia" w:ascii="宋体" w:hAnsi="宋体" w:eastAsia="宋体"/>
                <w:sz w:val="24"/>
              </w:rPr>
              <w:t>0-</w:t>
            </w:r>
            <w:r>
              <w:rPr>
                <w:rFonts w:hint="eastAsia" w:ascii="宋体" w:hAnsi="宋体" w:eastAsia="宋体"/>
                <w:sz w:val="24"/>
                <w:lang w:val="en-US" w:eastAsia="zh-CN"/>
              </w:rPr>
              <w:t>10</w:t>
            </w:r>
            <w:r>
              <w:rPr>
                <w:rFonts w:hint="eastAsia" w:ascii="宋体" w:hAnsi="宋体" w:eastAsia="宋体"/>
                <w:sz w:val="24"/>
              </w:rPr>
              <w:t>分</w:t>
            </w:r>
          </w:p>
        </w:tc>
      </w:tr>
      <w:tr w14:paraId="7A32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17B0D4FB">
            <w:pPr>
              <w:spacing w:line="360" w:lineRule="auto"/>
              <w:ind w:firstLine="435"/>
              <w:jc w:val="center"/>
              <w:rPr>
                <w:rFonts w:ascii="宋体" w:hAnsi="宋体" w:eastAsia="宋体"/>
                <w:b/>
                <w:bCs/>
                <w:sz w:val="24"/>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C684502">
            <w:pPr>
              <w:spacing w:line="360" w:lineRule="auto"/>
              <w:rPr>
                <w:rFonts w:ascii="宋体" w:hAnsi="宋体" w:eastAsia="宋体"/>
                <w:sz w:val="24"/>
                <w:highlight w:val="none"/>
              </w:rPr>
            </w:pPr>
            <w:r>
              <w:rPr>
                <w:rFonts w:hint="eastAsia" w:ascii="宋体" w:hAnsi="宋体" w:eastAsia="宋体"/>
                <w:sz w:val="24"/>
                <w:highlight w:val="none"/>
              </w:rPr>
              <w:t>新媒体推广能力</w:t>
            </w:r>
          </w:p>
        </w:tc>
        <w:tc>
          <w:tcPr>
            <w:tcW w:w="4755" w:type="dxa"/>
            <w:tcBorders>
              <w:top w:val="single" w:color="auto" w:sz="4" w:space="0"/>
              <w:left w:val="single" w:color="auto" w:sz="4" w:space="0"/>
              <w:bottom w:val="single" w:color="auto" w:sz="4" w:space="0"/>
              <w:right w:val="single" w:color="auto" w:sz="4" w:space="0"/>
            </w:tcBorders>
            <w:vAlign w:val="center"/>
          </w:tcPr>
          <w:p w14:paraId="0A42630F">
            <w:pPr>
              <w:spacing w:line="360" w:lineRule="auto"/>
              <w:rPr>
                <w:rFonts w:ascii="宋体" w:hAnsi="宋体" w:eastAsia="宋体"/>
                <w:sz w:val="24"/>
                <w:highlight w:val="none"/>
              </w:rPr>
            </w:pPr>
            <w:r>
              <w:rPr>
                <w:rFonts w:hint="eastAsia" w:ascii="宋体" w:hAnsi="宋体" w:eastAsia="宋体"/>
                <w:sz w:val="24"/>
                <w:highlight w:val="none"/>
              </w:rPr>
              <w:t>为更好转发推广合作内容，供应商应提供所持媒体平台</w:t>
            </w:r>
            <w:r>
              <w:rPr>
                <w:rFonts w:hint="eastAsia" w:ascii="宋体" w:hAnsi="宋体" w:eastAsia="宋体"/>
                <w:sz w:val="24"/>
                <w:highlight w:val="none"/>
                <w:lang w:val="en-US" w:eastAsia="zh-CN"/>
              </w:rPr>
              <w:t>或可服务于招标人宣传推广需求的媒体平台</w:t>
            </w:r>
            <w:r>
              <w:rPr>
                <w:rFonts w:hint="eastAsia" w:ascii="宋体" w:hAnsi="宋体" w:eastAsia="宋体"/>
                <w:sz w:val="24"/>
                <w:highlight w:val="none"/>
              </w:rPr>
              <w:t>粉丝总数量、阅读量截图（微信、抖音）。</w:t>
            </w:r>
          </w:p>
          <w:p w14:paraId="590E0A07">
            <w:pPr>
              <w:spacing w:line="360" w:lineRule="auto"/>
              <w:rPr>
                <w:rFonts w:ascii="宋体" w:hAnsi="宋体" w:eastAsia="宋体"/>
                <w:b/>
                <w:bCs/>
                <w:sz w:val="24"/>
                <w:highlight w:val="none"/>
              </w:rPr>
            </w:pPr>
            <w:r>
              <w:rPr>
                <w:rFonts w:hint="eastAsia" w:ascii="宋体" w:hAnsi="宋体" w:eastAsia="宋体"/>
                <w:b/>
                <w:bCs/>
                <w:sz w:val="24"/>
                <w:highlight w:val="none"/>
              </w:rPr>
              <w:t>1、微信平台粉丝量（本小项满分</w:t>
            </w:r>
            <w:r>
              <w:rPr>
                <w:rFonts w:hint="eastAsia" w:ascii="宋体" w:hAnsi="宋体" w:eastAsia="宋体"/>
                <w:b/>
                <w:bCs/>
                <w:sz w:val="24"/>
                <w:highlight w:val="none"/>
                <w:lang w:val="en-US" w:eastAsia="zh-CN"/>
              </w:rPr>
              <w:t>7</w:t>
            </w:r>
            <w:r>
              <w:rPr>
                <w:rFonts w:hint="eastAsia" w:ascii="宋体" w:hAnsi="宋体" w:eastAsia="宋体"/>
                <w:b/>
                <w:bCs/>
                <w:sz w:val="24"/>
                <w:highlight w:val="none"/>
              </w:rPr>
              <w:t>分）：</w:t>
            </w:r>
          </w:p>
          <w:p w14:paraId="793EEEFA">
            <w:pPr>
              <w:spacing w:line="360" w:lineRule="auto"/>
              <w:rPr>
                <w:rFonts w:hint="eastAsia" w:ascii="宋体" w:hAnsi="宋体" w:eastAsia="宋体"/>
                <w:sz w:val="24"/>
                <w:highlight w:val="none"/>
              </w:rPr>
            </w:pPr>
            <w:r>
              <w:rPr>
                <w:rFonts w:hint="eastAsia" w:ascii="宋体" w:hAnsi="宋体" w:eastAsia="宋体"/>
                <w:sz w:val="24"/>
                <w:highlight w:val="none"/>
              </w:rPr>
              <w:t>(1) 微信公众号粉丝数</w:t>
            </w:r>
            <w:r>
              <w:rPr>
                <w:rFonts w:hint="eastAsia" w:ascii="宋体" w:hAnsi="宋体" w:eastAsia="宋体"/>
                <w:sz w:val="24"/>
                <w:highlight w:val="none"/>
                <w:lang w:val="en-US" w:eastAsia="zh-CN"/>
              </w:rPr>
              <w:t>200</w:t>
            </w:r>
            <w:r>
              <w:rPr>
                <w:rFonts w:hint="eastAsia" w:ascii="宋体" w:hAnsi="宋体" w:eastAsia="宋体"/>
                <w:sz w:val="24"/>
                <w:highlight w:val="none"/>
              </w:rPr>
              <w:t>万及以上的，得</w:t>
            </w:r>
            <w:r>
              <w:rPr>
                <w:rFonts w:hint="eastAsia" w:ascii="宋体" w:hAnsi="宋体" w:eastAsia="宋体"/>
                <w:sz w:val="24"/>
                <w:highlight w:val="none"/>
                <w:lang w:val="en-US" w:eastAsia="zh-CN"/>
              </w:rPr>
              <w:t>7</w:t>
            </w:r>
            <w:r>
              <w:rPr>
                <w:rFonts w:hint="eastAsia" w:ascii="宋体" w:hAnsi="宋体" w:eastAsia="宋体"/>
                <w:sz w:val="24"/>
                <w:highlight w:val="none"/>
              </w:rPr>
              <w:t>分；</w:t>
            </w:r>
          </w:p>
          <w:p w14:paraId="6F341223">
            <w:pPr>
              <w:spacing w:line="360" w:lineRule="auto"/>
              <w:rPr>
                <w:rFonts w:hint="eastAsia"/>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2</w:t>
            </w:r>
            <w:r>
              <w:rPr>
                <w:rFonts w:hint="eastAsia" w:ascii="宋体" w:hAnsi="宋体" w:eastAsia="宋体"/>
                <w:sz w:val="24"/>
                <w:highlight w:val="none"/>
              </w:rPr>
              <w:t>) 微信公众号粉丝数</w:t>
            </w:r>
            <w:r>
              <w:rPr>
                <w:rFonts w:hint="eastAsia" w:ascii="宋体" w:hAnsi="宋体" w:eastAsia="宋体"/>
                <w:sz w:val="24"/>
                <w:highlight w:val="none"/>
                <w:lang w:val="en-US" w:eastAsia="zh-CN"/>
              </w:rPr>
              <w:t>150</w:t>
            </w:r>
            <w:r>
              <w:rPr>
                <w:rFonts w:hint="eastAsia" w:ascii="宋体" w:hAnsi="宋体" w:eastAsia="宋体"/>
                <w:sz w:val="24"/>
                <w:highlight w:val="none"/>
              </w:rPr>
              <w:t>万（含）-</w:t>
            </w:r>
            <w:r>
              <w:rPr>
                <w:rFonts w:hint="eastAsia" w:ascii="宋体" w:hAnsi="宋体" w:eastAsia="宋体"/>
                <w:sz w:val="24"/>
                <w:highlight w:val="none"/>
                <w:lang w:val="en-US" w:eastAsia="zh-CN"/>
              </w:rPr>
              <w:t>100</w:t>
            </w:r>
            <w:r>
              <w:rPr>
                <w:rFonts w:hint="eastAsia" w:ascii="宋体" w:hAnsi="宋体" w:eastAsia="宋体"/>
                <w:sz w:val="24"/>
                <w:highlight w:val="none"/>
              </w:rPr>
              <w:t>万（不含）的，得</w:t>
            </w:r>
            <w:r>
              <w:rPr>
                <w:rFonts w:hint="eastAsia" w:ascii="宋体" w:hAnsi="宋体" w:eastAsia="宋体"/>
                <w:sz w:val="24"/>
                <w:highlight w:val="none"/>
                <w:lang w:val="en-US" w:eastAsia="zh-CN"/>
              </w:rPr>
              <w:t>6</w:t>
            </w:r>
            <w:r>
              <w:rPr>
                <w:rFonts w:hint="eastAsia" w:ascii="宋体" w:hAnsi="宋体" w:eastAsia="宋体"/>
                <w:sz w:val="24"/>
                <w:highlight w:val="none"/>
              </w:rPr>
              <w:t>分；</w:t>
            </w:r>
          </w:p>
          <w:p w14:paraId="2375BBEA">
            <w:pPr>
              <w:spacing w:line="360" w:lineRule="auto"/>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3</w:t>
            </w:r>
            <w:r>
              <w:rPr>
                <w:rFonts w:hint="eastAsia" w:ascii="宋体" w:hAnsi="宋体" w:eastAsia="宋体"/>
                <w:sz w:val="24"/>
                <w:highlight w:val="none"/>
              </w:rPr>
              <w:t>) 微信公众号粉丝数100万</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含</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-80万（不含）的</w:t>
            </w:r>
            <w:r>
              <w:rPr>
                <w:rFonts w:hint="eastAsia" w:ascii="宋体" w:hAnsi="宋体" w:eastAsia="宋体"/>
                <w:sz w:val="24"/>
                <w:highlight w:val="none"/>
              </w:rPr>
              <w:t>，得5分；</w:t>
            </w:r>
          </w:p>
          <w:p w14:paraId="581C4DE7">
            <w:pPr>
              <w:spacing w:line="360" w:lineRule="auto"/>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4</w:t>
            </w:r>
            <w:r>
              <w:rPr>
                <w:rFonts w:hint="eastAsia" w:ascii="宋体" w:hAnsi="宋体" w:eastAsia="宋体"/>
                <w:sz w:val="24"/>
                <w:highlight w:val="none"/>
              </w:rPr>
              <w:t>) 微信公众号粉丝数50万（含）-80万（不含）的，得4分；</w:t>
            </w:r>
          </w:p>
          <w:p w14:paraId="2061E218">
            <w:pPr>
              <w:spacing w:line="360" w:lineRule="auto"/>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5</w:t>
            </w:r>
            <w:r>
              <w:rPr>
                <w:rFonts w:hint="eastAsia" w:ascii="宋体" w:hAnsi="宋体" w:eastAsia="宋体"/>
                <w:sz w:val="24"/>
                <w:highlight w:val="none"/>
              </w:rPr>
              <w:t>) 微信公众号粉丝数30万（含）-50万（不含）的，得3分；</w:t>
            </w:r>
          </w:p>
          <w:p w14:paraId="73A282D5">
            <w:pPr>
              <w:spacing w:line="360" w:lineRule="auto"/>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6</w:t>
            </w:r>
            <w:r>
              <w:rPr>
                <w:rFonts w:hint="eastAsia" w:ascii="宋体" w:hAnsi="宋体" w:eastAsia="宋体"/>
                <w:sz w:val="24"/>
                <w:highlight w:val="none"/>
              </w:rPr>
              <w:t>) 微信公众号粉丝数10万（含）-30万（不含）的，得2分；</w:t>
            </w:r>
          </w:p>
          <w:p w14:paraId="5B798BC4">
            <w:pPr>
              <w:spacing w:line="360" w:lineRule="auto"/>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7</w:t>
            </w:r>
            <w:r>
              <w:rPr>
                <w:rFonts w:hint="eastAsia" w:ascii="宋体" w:hAnsi="宋体" w:eastAsia="宋体"/>
                <w:sz w:val="24"/>
                <w:highlight w:val="none"/>
              </w:rPr>
              <w:t>) 微信公众号粉丝数5万（含）-10万（不含）的，得1分；</w:t>
            </w:r>
          </w:p>
          <w:p w14:paraId="160DB844">
            <w:pPr>
              <w:spacing w:line="360" w:lineRule="auto"/>
              <w:rPr>
                <w:rFonts w:hint="eastAsia" w:ascii="宋体" w:hAnsi="宋体" w:eastAsia="宋体"/>
                <w:b/>
                <w:bCs/>
                <w:sz w:val="24"/>
                <w:highlight w:val="none"/>
                <w:lang w:eastAsia="zh-CN"/>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 微信公众号粉丝数低于5万的不得分。</w:t>
            </w:r>
            <w:r>
              <w:rPr>
                <w:rFonts w:hint="eastAsia" w:ascii="宋体" w:hAnsi="宋体" w:eastAsia="宋体"/>
                <w:b/>
                <w:bCs/>
                <w:sz w:val="24"/>
                <w:highlight w:val="none"/>
                <w:lang w:val="en-US" w:eastAsia="zh-CN"/>
              </w:rPr>
              <w:t>注：</w:t>
            </w:r>
            <w:r>
              <w:rPr>
                <w:rFonts w:hint="eastAsia" w:ascii="宋体" w:hAnsi="宋体" w:eastAsia="宋体"/>
                <w:b/>
                <w:bCs/>
                <w:sz w:val="24"/>
                <w:highlight w:val="none"/>
              </w:rPr>
              <w:t>响应文件中提供截图（须至少能体现供应商名称相关信息、粉丝数量等评审要素并加盖供应商公章（或电子签章）</w:t>
            </w:r>
            <w:r>
              <w:rPr>
                <w:rFonts w:hint="eastAsia" w:ascii="宋体" w:hAnsi="宋体" w:eastAsia="宋体"/>
                <w:b/>
                <w:bCs/>
                <w:sz w:val="24"/>
                <w:highlight w:val="none"/>
                <w:lang w:eastAsia="zh-CN"/>
              </w:rPr>
              <w:t>。</w:t>
            </w:r>
          </w:p>
          <w:p w14:paraId="34D53732">
            <w:pPr>
              <w:spacing w:line="360" w:lineRule="auto"/>
              <w:rPr>
                <w:rFonts w:ascii="宋体" w:hAnsi="宋体" w:eastAsia="宋体"/>
                <w:b/>
                <w:bCs/>
                <w:sz w:val="24"/>
                <w:highlight w:val="none"/>
              </w:rPr>
            </w:pPr>
            <w:r>
              <w:rPr>
                <w:rFonts w:hint="eastAsia" w:ascii="宋体" w:hAnsi="宋体" w:eastAsia="宋体"/>
                <w:b/>
                <w:bCs/>
                <w:sz w:val="24"/>
                <w:highlight w:val="none"/>
                <w:lang w:val="en-US" w:eastAsia="zh-CN"/>
              </w:rPr>
              <w:t>2</w:t>
            </w:r>
            <w:r>
              <w:rPr>
                <w:rFonts w:hint="eastAsia" w:ascii="宋体" w:hAnsi="宋体" w:eastAsia="宋体"/>
                <w:b/>
                <w:bCs/>
                <w:sz w:val="24"/>
                <w:highlight w:val="none"/>
              </w:rPr>
              <w:t>、微信公众号阅读量（本小项满分</w:t>
            </w:r>
            <w:r>
              <w:rPr>
                <w:rFonts w:hint="eastAsia" w:ascii="宋体" w:hAnsi="宋体" w:eastAsia="宋体"/>
                <w:b/>
                <w:bCs/>
                <w:sz w:val="24"/>
                <w:highlight w:val="none"/>
                <w:lang w:val="en-US" w:eastAsia="zh-CN"/>
              </w:rPr>
              <w:t>8</w:t>
            </w:r>
            <w:r>
              <w:rPr>
                <w:rFonts w:hint="eastAsia" w:ascii="宋体" w:hAnsi="宋体" w:eastAsia="宋体"/>
                <w:b/>
                <w:bCs/>
                <w:sz w:val="24"/>
                <w:highlight w:val="none"/>
              </w:rPr>
              <w:t>分）：</w:t>
            </w:r>
          </w:p>
          <w:p w14:paraId="5248BB89">
            <w:pPr>
              <w:spacing w:line="360" w:lineRule="auto"/>
              <w:rPr>
                <w:rFonts w:hint="eastAsia" w:ascii="宋体" w:hAnsi="宋体" w:eastAsia="宋体"/>
                <w:sz w:val="24"/>
                <w:highlight w:val="none"/>
              </w:rPr>
            </w:pPr>
            <w:r>
              <w:rPr>
                <w:rFonts w:hint="eastAsia" w:ascii="宋体" w:hAnsi="宋体" w:eastAsia="宋体"/>
                <w:sz w:val="24"/>
                <w:highlight w:val="none"/>
              </w:rPr>
              <w:t>(1) 2021年1月1日以来微信公众号阅读量为30万（含）-50万（不含）的文章，每篇得0.5分，最高得</w:t>
            </w:r>
            <w:r>
              <w:rPr>
                <w:rFonts w:hint="eastAsia" w:ascii="宋体" w:hAnsi="宋体" w:eastAsia="宋体"/>
                <w:sz w:val="24"/>
                <w:highlight w:val="none"/>
                <w:lang w:val="en-US" w:eastAsia="zh-CN"/>
              </w:rPr>
              <w:t>2</w:t>
            </w:r>
            <w:r>
              <w:rPr>
                <w:rFonts w:hint="eastAsia" w:ascii="宋体" w:hAnsi="宋体" w:eastAsia="宋体"/>
                <w:sz w:val="24"/>
                <w:highlight w:val="none"/>
              </w:rPr>
              <w:t>分。</w:t>
            </w:r>
          </w:p>
          <w:p w14:paraId="73CACFD3">
            <w:pPr>
              <w:spacing w:line="360" w:lineRule="auto"/>
              <w:rPr>
                <w:rFonts w:hint="eastAsia" w:ascii="宋体" w:hAnsi="宋体" w:eastAsia="宋体"/>
                <w:sz w:val="24"/>
                <w:highlight w:val="none"/>
              </w:rPr>
            </w:pPr>
            <w:r>
              <w:rPr>
                <w:rFonts w:hint="eastAsia" w:ascii="宋体" w:hAnsi="宋体" w:eastAsia="宋体"/>
                <w:sz w:val="24"/>
                <w:highlight w:val="none"/>
              </w:rPr>
              <w:t>(2) 2021年1月1日以来微信公众号阅读量为50万（含）-70万（不含）的文章，每篇得1分，最高得2分。</w:t>
            </w:r>
          </w:p>
          <w:p w14:paraId="1456F1CD">
            <w:pPr>
              <w:spacing w:line="360" w:lineRule="auto"/>
              <w:rPr>
                <w:rFonts w:hint="eastAsia" w:ascii="宋体" w:hAnsi="宋体" w:eastAsia="宋体"/>
                <w:sz w:val="24"/>
                <w:highlight w:val="none"/>
              </w:rPr>
            </w:pPr>
            <w:r>
              <w:rPr>
                <w:rFonts w:hint="eastAsia" w:ascii="宋体" w:hAnsi="宋体" w:eastAsia="宋体"/>
                <w:sz w:val="24"/>
                <w:highlight w:val="none"/>
              </w:rPr>
              <w:t>(3) 2021年1月1日以来微信公众号阅读量超过70万（含）的文章，每篇得2分，最高得4分。</w:t>
            </w:r>
          </w:p>
          <w:p w14:paraId="54982EA5">
            <w:pPr>
              <w:spacing w:line="360" w:lineRule="auto"/>
              <w:rPr>
                <w:rFonts w:hint="eastAsia" w:ascii="宋体" w:hAnsi="宋体" w:eastAsia="宋体"/>
                <w:sz w:val="24"/>
                <w:highlight w:val="none"/>
              </w:rPr>
            </w:pPr>
            <w:r>
              <w:rPr>
                <w:rFonts w:hint="eastAsia" w:ascii="宋体" w:hAnsi="宋体" w:eastAsia="宋体"/>
                <w:sz w:val="24"/>
                <w:highlight w:val="none"/>
              </w:rPr>
              <w:t>(4) 2021年以来微信公众号阅读量低于30万（不含）的文章，不得分。</w:t>
            </w:r>
          </w:p>
          <w:p w14:paraId="0116E6CE">
            <w:pPr>
              <w:spacing w:line="360" w:lineRule="auto"/>
              <w:rPr>
                <w:rFonts w:ascii="宋体" w:hAnsi="宋体" w:eastAsia="宋体"/>
                <w:b/>
                <w:bCs/>
                <w:sz w:val="24"/>
                <w:highlight w:val="none"/>
              </w:rPr>
            </w:pPr>
            <w:r>
              <w:rPr>
                <w:rFonts w:hint="eastAsia" w:ascii="宋体" w:hAnsi="宋体" w:eastAsia="宋体"/>
                <w:b/>
                <w:bCs/>
                <w:sz w:val="24"/>
                <w:highlight w:val="none"/>
              </w:rPr>
              <w:t>注：如供应商提供满足高一级的阅读量文章已得满分，额外提供的满足高一级的阅读量可视为满足低一级的阅读量并予以计分。</w:t>
            </w:r>
          </w:p>
          <w:p w14:paraId="40E19985">
            <w:pPr>
              <w:spacing w:line="360" w:lineRule="auto"/>
              <w:rPr>
                <w:rFonts w:ascii="宋体" w:hAnsi="宋体" w:eastAsia="宋体"/>
                <w:sz w:val="24"/>
                <w:highlight w:val="none"/>
              </w:rPr>
            </w:pPr>
          </w:p>
        </w:tc>
        <w:tc>
          <w:tcPr>
            <w:tcW w:w="1023" w:type="dxa"/>
            <w:tcBorders>
              <w:top w:val="single" w:color="auto" w:sz="4" w:space="0"/>
              <w:left w:val="single" w:color="auto" w:sz="4" w:space="0"/>
              <w:bottom w:val="single" w:color="auto" w:sz="4" w:space="0"/>
              <w:right w:val="single" w:color="auto" w:sz="4" w:space="0"/>
            </w:tcBorders>
            <w:vAlign w:val="center"/>
          </w:tcPr>
          <w:p w14:paraId="1CEDBD0E">
            <w:pPr>
              <w:spacing w:line="360" w:lineRule="auto"/>
              <w:rPr>
                <w:rFonts w:ascii="宋体" w:hAnsi="宋体" w:eastAsia="宋体"/>
                <w:b/>
                <w:bCs/>
                <w:sz w:val="24"/>
                <w:highlight w:val="none"/>
              </w:rPr>
            </w:pPr>
            <w:r>
              <w:rPr>
                <w:rFonts w:hint="eastAsia" w:ascii="宋体" w:hAnsi="宋体" w:eastAsia="宋体"/>
                <w:sz w:val="24"/>
                <w:highlight w:val="none"/>
              </w:rPr>
              <w:t>0-</w:t>
            </w:r>
            <w:r>
              <w:rPr>
                <w:rFonts w:hint="eastAsia" w:ascii="宋体" w:hAnsi="宋体" w:eastAsia="宋体"/>
                <w:sz w:val="24"/>
                <w:highlight w:val="none"/>
                <w:lang w:val="en-US" w:eastAsia="zh-CN"/>
              </w:rPr>
              <w:t>15</w:t>
            </w:r>
            <w:r>
              <w:rPr>
                <w:rFonts w:hint="eastAsia" w:ascii="宋体" w:hAnsi="宋体" w:eastAsia="宋体"/>
                <w:sz w:val="24"/>
                <w:highlight w:val="none"/>
              </w:rPr>
              <w:t>分</w:t>
            </w:r>
          </w:p>
        </w:tc>
      </w:tr>
      <w:tr w14:paraId="2FAF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tcBorders>
              <w:left w:val="single" w:color="auto" w:sz="4" w:space="0"/>
              <w:right w:val="single" w:color="auto" w:sz="4" w:space="0"/>
            </w:tcBorders>
            <w:vAlign w:val="center"/>
          </w:tcPr>
          <w:p w14:paraId="661F46BD">
            <w:pPr>
              <w:spacing w:line="360" w:lineRule="auto"/>
              <w:rPr>
                <w:rFonts w:ascii="宋体" w:hAnsi="宋体" w:eastAsia="宋体"/>
                <w:sz w:val="24"/>
              </w:rPr>
            </w:pPr>
            <w:r>
              <w:rPr>
                <w:rFonts w:hint="eastAsia" w:ascii="宋体" w:hAnsi="宋体" w:eastAsia="宋体"/>
                <w:sz w:val="24"/>
              </w:rPr>
              <w:t>价格分</w:t>
            </w:r>
          </w:p>
          <w:p w14:paraId="45DB0753">
            <w:pPr>
              <w:spacing w:line="360" w:lineRule="auto"/>
              <w:rPr>
                <w:rFonts w:ascii="宋体" w:hAnsi="宋体" w:eastAsia="宋体"/>
                <w:b/>
                <w:bCs/>
                <w:sz w:val="24"/>
              </w:rPr>
            </w:pPr>
            <w:r>
              <w:rPr>
                <w:rFonts w:hint="eastAsia" w:ascii="宋体" w:hAnsi="宋体" w:eastAsia="宋体"/>
                <w:sz w:val="24"/>
              </w:rPr>
              <w:t>（</w:t>
            </w:r>
            <w:r>
              <w:rPr>
                <w:rFonts w:hint="eastAsia" w:ascii="宋体" w:hAnsi="宋体" w:eastAsia="宋体"/>
                <w:sz w:val="24"/>
                <w:lang w:val="en-US" w:eastAsia="zh-CN"/>
              </w:rPr>
              <w:t>10</w:t>
            </w:r>
            <w:r>
              <w:rPr>
                <w:rFonts w:hint="eastAsia" w:ascii="宋体" w:hAnsi="宋体" w:eastAsia="宋体"/>
                <w:sz w:val="24"/>
              </w:rPr>
              <w:t>分）</w:t>
            </w:r>
          </w:p>
        </w:tc>
        <w:tc>
          <w:tcPr>
            <w:tcW w:w="7044" w:type="dxa"/>
            <w:gridSpan w:val="3"/>
            <w:tcBorders>
              <w:top w:val="single" w:color="auto" w:sz="4" w:space="0"/>
              <w:left w:val="single" w:color="auto" w:sz="4" w:space="0"/>
              <w:bottom w:val="single" w:color="auto" w:sz="4" w:space="0"/>
              <w:right w:val="single" w:color="auto" w:sz="4" w:space="0"/>
            </w:tcBorders>
            <w:vAlign w:val="center"/>
          </w:tcPr>
          <w:p w14:paraId="3E98ED0D">
            <w:pPr>
              <w:spacing w:line="360" w:lineRule="auto"/>
              <w:rPr>
                <w:rFonts w:ascii="宋体" w:hAnsi="宋体" w:eastAsia="宋体"/>
                <w:sz w:val="24"/>
              </w:rPr>
            </w:pPr>
            <w:r>
              <w:rPr>
                <w:rFonts w:hint="eastAsia" w:ascii="宋体" w:hAnsi="宋体" w:eastAsia="宋体"/>
                <w:sz w:val="24"/>
              </w:rPr>
              <w:t>价格分统一采用低价优先法，即满足招标文件要求且投标价格最低的投标报价为评标基准价，其价格分为满分</w:t>
            </w:r>
            <w:r>
              <w:rPr>
                <w:rFonts w:hint="eastAsia" w:ascii="宋体" w:hAnsi="宋体" w:eastAsia="宋体"/>
                <w:sz w:val="24"/>
                <w:u w:val="single"/>
              </w:rPr>
              <w:t xml:space="preserve">  </w:t>
            </w:r>
            <w:r>
              <w:rPr>
                <w:rFonts w:hint="eastAsia" w:ascii="宋体" w:hAnsi="宋体" w:eastAsia="宋体"/>
                <w:sz w:val="24"/>
                <w:u w:val="single"/>
                <w:lang w:val="en-US" w:eastAsia="zh-CN"/>
              </w:rPr>
              <w:t>1</w:t>
            </w:r>
            <w:r>
              <w:rPr>
                <w:rFonts w:hint="eastAsia" w:ascii="宋体" w:hAnsi="宋体" w:eastAsia="宋体"/>
                <w:sz w:val="24"/>
                <w:u w:val="single"/>
              </w:rPr>
              <w:t xml:space="preserve">0 </w:t>
            </w:r>
            <w:r>
              <w:rPr>
                <w:rFonts w:hint="eastAsia" w:ascii="宋体" w:hAnsi="宋体" w:eastAsia="宋体"/>
                <w:sz w:val="24"/>
              </w:rPr>
              <w:t>分。其他供应商的价格分统一按照下列公式计算：</w:t>
            </w:r>
          </w:p>
          <w:p w14:paraId="178C7D69">
            <w:pPr>
              <w:spacing w:line="360" w:lineRule="auto"/>
              <w:rPr>
                <w:rFonts w:ascii="宋体" w:hAnsi="宋体" w:eastAsia="宋体"/>
                <w:b/>
                <w:bCs/>
                <w:sz w:val="24"/>
              </w:rPr>
            </w:pPr>
            <w:r>
              <w:rPr>
                <w:rFonts w:hint="eastAsia" w:ascii="宋体" w:hAnsi="宋体" w:eastAsia="宋体"/>
                <w:sz w:val="24"/>
              </w:rPr>
              <w:t>投标报价得分＝（评标基准价/投标报价）×</w:t>
            </w:r>
            <w:r>
              <w:rPr>
                <w:rFonts w:hint="eastAsia" w:ascii="宋体" w:hAnsi="宋体" w:eastAsia="宋体"/>
                <w:sz w:val="24"/>
                <w:u w:val="single"/>
              </w:rPr>
              <w:t xml:space="preserve">  </w:t>
            </w:r>
            <w:r>
              <w:rPr>
                <w:rFonts w:hint="eastAsia" w:ascii="宋体" w:hAnsi="宋体" w:eastAsia="宋体"/>
                <w:sz w:val="24"/>
                <w:u w:val="single"/>
                <w:lang w:val="en-US" w:eastAsia="zh-CN"/>
              </w:rPr>
              <w:t>1</w:t>
            </w:r>
            <w:r>
              <w:rPr>
                <w:rFonts w:hint="eastAsia" w:ascii="宋体" w:hAnsi="宋体" w:eastAsia="宋体"/>
                <w:sz w:val="24"/>
                <w:u w:val="single"/>
              </w:rPr>
              <w:t xml:space="preserve">0 </w:t>
            </w:r>
            <w:r>
              <w:rPr>
                <w:rFonts w:hint="eastAsia" w:ascii="宋体" w:hAnsi="宋体" w:eastAsia="宋体"/>
                <w:sz w:val="24"/>
              </w:rPr>
              <w:t>％×100</w:t>
            </w:r>
          </w:p>
        </w:tc>
      </w:tr>
    </w:tbl>
    <w:p w14:paraId="13D6879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ACE455E-0A64-43B4-92E5-1D656D801A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E160577-4BD1-4ACD-92FF-AFCDC439659A}"/>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公文小标宋">
    <w:panose1 w:val="02000500000000000000"/>
    <w:charset w:val="86"/>
    <w:family w:val="auto"/>
    <w:pitch w:val="default"/>
    <w:sig w:usb0="A00002BF" w:usb1="38CF7CFA" w:usb2="00000016" w:usb3="00000000" w:csb0="00040001" w:csb1="00000000"/>
    <w:embedRegular r:id="rId3" w:fontKey="{61AB9E6A-AF25-4D43-9404-0FB145FDE469}"/>
  </w:font>
  <w:font w:name="方正小标宋简体">
    <w:panose1 w:val="02000000000000000000"/>
    <w:charset w:val="86"/>
    <w:family w:val="auto"/>
    <w:pitch w:val="default"/>
    <w:sig w:usb0="00000001" w:usb1="08000000" w:usb2="00000000" w:usb3="00000000" w:csb0="00040000" w:csb1="00000000"/>
    <w:embedRegular r:id="rId4" w:fontKey="{F1BC8B98-5C23-4901-8274-88D59D2B055F}"/>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C9B5A7"/>
    <w:multiLevelType w:val="singleLevel"/>
    <w:tmpl w:val="DEC9B5A7"/>
    <w:lvl w:ilvl="0" w:tentative="0">
      <w:start w:val="2"/>
      <w:numFmt w:val="decimal"/>
      <w:suff w:val="nothing"/>
      <w:lvlText w:val="%1、"/>
      <w:lvlJc w:val="left"/>
    </w:lvl>
  </w:abstractNum>
  <w:abstractNum w:abstractNumId="1">
    <w:nsid w:val="5E0F2970"/>
    <w:multiLevelType w:val="singleLevel"/>
    <w:tmpl w:val="5E0F297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082"/>
    <w:rsid w:val="001C2082"/>
    <w:rsid w:val="004B0D73"/>
    <w:rsid w:val="00963CB6"/>
    <w:rsid w:val="00DA3008"/>
    <w:rsid w:val="00EC01DD"/>
    <w:rsid w:val="0E896915"/>
    <w:rsid w:val="0FC11A48"/>
    <w:rsid w:val="11512479"/>
    <w:rsid w:val="196B7938"/>
    <w:rsid w:val="1A5D1977"/>
    <w:rsid w:val="1CAC2329"/>
    <w:rsid w:val="1DA34E0D"/>
    <w:rsid w:val="208A2D9A"/>
    <w:rsid w:val="22DF561F"/>
    <w:rsid w:val="25D46BAF"/>
    <w:rsid w:val="31860135"/>
    <w:rsid w:val="34E00A83"/>
    <w:rsid w:val="394567CE"/>
    <w:rsid w:val="3B51167B"/>
    <w:rsid w:val="417523CC"/>
    <w:rsid w:val="79363D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仿宋_GB2312"/>
      <w:kern w:val="2"/>
      <w:sz w:val="21"/>
      <w:szCs w:val="20"/>
      <w:lang w:val="en-US" w:eastAsia="zh-CN" w:bidi="ar-SA"/>
    </w:rPr>
  </w:style>
  <w:style w:type="paragraph" w:styleId="3">
    <w:name w:val="heading 3"/>
    <w:basedOn w:val="1"/>
    <w:next w:val="1"/>
    <w:qFormat/>
    <w:uiPriority w:val="0"/>
    <w:pPr>
      <w:spacing w:before="100" w:beforeAutospacing="1" w:after="100" w:afterAutospacing="1"/>
      <w:jc w:val="left"/>
      <w:outlineLvl w:val="2"/>
    </w:pPr>
    <w:rPr>
      <w:rFonts w:hint="eastAsia" w:ascii="宋体" w:hAnsi="宋体" w:eastAsia="宋体" w:cs="Times New Roman"/>
      <w:b/>
      <w:kern w:val="0"/>
      <w:sz w:val="27"/>
      <w:szCs w:val="27"/>
    </w:rPr>
  </w:style>
  <w:style w:type="paragraph" w:styleId="4">
    <w:name w:val="heading 4"/>
    <w:basedOn w:val="1"/>
    <w:next w:val="1"/>
    <w:link w:val="1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99"/>
    <w:pPr>
      <w:spacing w:line="360" w:lineRule="auto"/>
      <w:ind w:firstLine="480" w:firstLineChars="200"/>
    </w:pPr>
    <w:rPr>
      <w:rFonts w:ascii="Calibri" w:hAnsi="Calibri"/>
      <w:sz w:val="24"/>
      <w:lang w:val="zh-CN"/>
    </w:rPr>
  </w:style>
  <w:style w:type="paragraph" w:styleId="5">
    <w:name w:val="annotation text"/>
    <w:basedOn w:val="1"/>
    <w:link w:val="14"/>
    <w:qFormat/>
    <w:uiPriority w:val="0"/>
    <w:pPr>
      <w:jc w:val="left"/>
    </w:pPr>
    <w:rPr>
      <w:rFonts w:ascii="Arial" w:hAnsi="Arial" w:eastAsia="黑体" w:cs="Times New Roman"/>
      <w:kern w:val="0"/>
      <w:sz w:val="20"/>
    </w:r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22"/>
    <w:rPr>
      <w:b/>
    </w:rPr>
  </w:style>
  <w:style w:type="character" w:customStyle="1" w:styleId="11">
    <w:name w:val="页眉 Char"/>
    <w:basedOn w:val="9"/>
    <w:link w:val="7"/>
    <w:qFormat/>
    <w:uiPriority w:val="99"/>
    <w:rPr>
      <w:sz w:val="18"/>
      <w:szCs w:val="18"/>
    </w:rPr>
  </w:style>
  <w:style w:type="character" w:customStyle="1" w:styleId="12">
    <w:name w:val="页脚 Char"/>
    <w:basedOn w:val="9"/>
    <w:link w:val="6"/>
    <w:qFormat/>
    <w:uiPriority w:val="99"/>
    <w:rPr>
      <w:sz w:val="18"/>
      <w:szCs w:val="18"/>
    </w:rPr>
  </w:style>
  <w:style w:type="character" w:customStyle="1" w:styleId="13">
    <w:name w:val="批注文字 Char"/>
    <w:basedOn w:val="9"/>
    <w:semiHidden/>
    <w:qFormat/>
    <w:uiPriority w:val="99"/>
    <w:rPr>
      <w:rFonts w:ascii="@仿宋_GB2312" w:hAnsi="@仿宋_GB2312" w:eastAsia="@仿宋_GB2312" w:cs="@仿宋_GB2312"/>
      <w:szCs w:val="20"/>
    </w:rPr>
  </w:style>
  <w:style w:type="character" w:customStyle="1" w:styleId="14">
    <w:name w:val="批注文字 Char1"/>
    <w:link w:val="5"/>
    <w:qFormat/>
    <w:uiPriority w:val="0"/>
    <w:rPr>
      <w:rFonts w:ascii="Arial" w:hAnsi="Arial" w:eastAsia="黑体" w:cs="Times New Roman"/>
      <w:kern w:val="0"/>
      <w:sz w:val="20"/>
      <w:szCs w:val="20"/>
    </w:rPr>
  </w:style>
  <w:style w:type="paragraph" w:customStyle="1" w:styleId="15">
    <w:name w:val="列出段落2"/>
    <w:basedOn w:val="1"/>
    <w:qFormat/>
    <w:uiPriority w:val="99"/>
    <w:pPr>
      <w:ind w:firstLine="420" w:firstLineChars="200"/>
    </w:pPr>
  </w:style>
  <w:style w:type="character" w:customStyle="1" w:styleId="16">
    <w:name w:val="标题 4 Char"/>
    <w:basedOn w:val="9"/>
    <w:link w:val="4"/>
    <w:semiHidden/>
    <w:qFormat/>
    <w:uiPriority w:val="9"/>
    <w:rPr>
      <w:rFonts w:asciiTheme="majorHAnsi" w:hAnsiTheme="majorHAnsi" w:eastAsiaTheme="majorEastAsia" w:cstheme="majorBidi"/>
      <w:b/>
      <w:bCs/>
      <w:sz w:val="28"/>
      <w:szCs w:val="28"/>
    </w:rPr>
  </w:style>
  <w:style w:type="paragraph" w:customStyle="1" w:styleId="17">
    <w:name w:val="xl31"/>
    <w:basedOn w:val="1"/>
    <w:qFormat/>
    <w:uiPriority w:val="0"/>
    <w:pPr>
      <w:widowControl/>
      <w:spacing w:before="100" w:beforeAutospacing="1" w:after="100" w:afterAutospacing="1"/>
      <w:jc w:val="center"/>
    </w:pPr>
    <w:rPr>
      <w:rFonts w:ascii="宋体" w:hAnsi="宋体" w:eastAsia="宋体" w:cs="Times New Roman"/>
      <w:b/>
      <w:bCs/>
      <w:ker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6</Pages>
  <Words>2668</Words>
  <Characters>2812</Characters>
  <Lines>19</Lines>
  <Paragraphs>5</Paragraphs>
  <TotalTime>0</TotalTime>
  <ScaleCrop>false</ScaleCrop>
  <LinksUpToDate>false</LinksUpToDate>
  <CharactersWithSpaces>2859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2023-08-16T03:03:00Z</dcterms:created>
  <dc:creator>陈  华</dc:creator>
  <cp:lastModifiedBy>thebs</cp:lastModifiedBy>
  <cp:lastPrinted>2025-11-24T00:52:00Z</cp:lastPrinted>
  <dcterms:modified xsi:type="dcterms:W3CDTF">2025-11-28T01:06:30Z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eyJoZGlkIjoiZGFiODY0YTVhNTAxMDI3MDY3NDM1ZDBjY2JlZjU4NDYiLCJ1c2VySWQiOiIzMjQ0MTk5MzMifQ==</vt:lpwstr>
  </property>
  <property fmtid="{D5CDD505-2E9C-101B-9397-08002B2CF9AE}" pid="3" name="KSOProductBuildVer">
    <vt:lpwstr>2052-12.1.0.23542</vt:lpwstr>
  </property>
  <property fmtid="{D5CDD505-2E9C-101B-9397-08002B2CF9AE}" pid="4" name="ICV">
    <vt:lpwstr>47F691E7C2684CDA91320806EEB667A9_13</vt:lpwstr>
  </property>
</Properties>
</file>