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B98C6D">
      <w:pPr>
        <w:keepNext w:val="0"/>
        <w:keepLines w:val="0"/>
        <w:pageBreakBefore w:val="0"/>
        <w:numPr>
          <w:ilvl w:val="0"/>
          <w:numId w:val="0"/>
        </w:numPr>
        <w:kinsoku/>
        <w:wordWrap/>
        <w:overflowPunct/>
        <w:topLinePunct w:val="0"/>
        <w:autoSpaceDE/>
        <w:autoSpaceDN/>
        <w:bidi w:val="0"/>
        <w:adjustRightInd w:val="0"/>
        <w:snapToGrid w:val="0"/>
        <w:spacing w:line="560" w:lineRule="exact"/>
        <w:ind w:left="5916" w:leftChars="0" w:hanging="5916" w:hangingChars="2113"/>
        <w:jc w:val="left"/>
        <w:rPr>
          <w:rFonts w:hint="default" w:ascii="Times New Roman" w:hAnsi="Times New Roman" w:cs="Times New Roman"/>
          <w:b w:val="0"/>
          <w:bCs w:val="0"/>
          <w:sz w:val="28"/>
          <w:lang w:val="en-US" w:eastAsia="zh-CN"/>
        </w:rPr>
      </w:pPr>
      <w:r>
        <w:rPr>
          <w:rFonts w:hint="default" w:ascii="Times New Roman" w:hAnsi="Times New Roman" w:eastAsia="仿宋_GB2312" w:cs="Times New Roman"/>
          <w:b w:val="0"/>
          <w:bCs w:val="0"/>
          <w:sz w:val="28"/>
          <w:szCs w:val="28"/>
          <w:lang w:val="en-US" w:eastAsia="zh-CN"/>
        </w:rPr>
        <w:t>附件</w:t>
      </w:r>
      <w:r>
        <w:rPr>
          <w:rFonts w:hint="eastAsia" w:ascii="Times New Roman" w:hAnsi="Times New Roman" w:eastAsia="仿宋_GB2312" w:cs="Times New Roman"/>
          <w:b w:val="0"/>
          <w:bCs w:val="0"/>
          <w:sz w:val="28"/>
          <w:szCs w:val="28"/>
          <w:lang w:val="en-US" w:eastAsia="zh-CN"/>
        </w:rPr>
        <w:t>3</w:t>
      </w:r>
    </w:p>
    <w:p w14:paraId="5138569A">
      <w:pPr>
        <w:keepNext w:val="0"/>
        <w:keepLines w:val="0"/>
        <w:pageBreakBefore w:val="0"/>
        <w:numPr>
          <w:ilvl w:val="0"/>
          <w:numId w:val="0"/>
        </w:numPr>
        <w:kinsoku/>
        <w:wordWrap/>
        <w:overflowPunct/>
        <w:topLinePunct w:val="0"/>
        <w:autoSpaceDE/>
        <w:autoSpaceDN/>
        <w:bidi w:val="0"/>
        <w:adjustRightInd/>
        <w:snapToGrid/>
        <w:spacing w:line="560" w:lineRule="exact"/>
        <w:jc w:val="center"/>
        <w:textAlignment w:val="auto"/>
        <w:outlineLvl w:val="1"/>
        <w:rPr>
          <w:rFonts w:hint="eastAsia" w:ascii="Times New Roman" w:hAnsi="Times New Roman" w:eastAsia="黑体" w:cs="Times New Roman"/>
          <w:b w:val="0"/>
          <w:bCs w:val="0"/>
          <w:sz w:val="32"/>
          <w:szCs w:val="32"/>
          <w:lang w:val="en-US" w:eastAsia="zh-CN"/>
        </w:rPr>
      </w:pPr>
      <w:r>
        <w:rPr>
          <w:rFonts w:hint="default" w:ascii="Times New Roman" w:hAnsi="Times New Roman" w:eastAsia="黑体" w:cs="Times New Roman"/>
          <w:b w:val="0"/>
          <w:bCs w:val="0"/>
          <w:sz w:val="32"/>
          <w:szCs w:val="32"/>
          <w:lang w:val="en-US" w:eastAsia="zh-CN"/>
        </w:rPr>
        <w:t>合肥市引江济淮投资有限公司业务综合用房绿植租赁项目评分</w:t>
      </w:r>
      <w:r>
        <w:rPr>
          <w:rFonts w:hint="eastAsia" w:ascii="Times New Roman" w:hAnsi="Times New Roman" w:eastAsia="黑体" w:cs="Times New Roman"/>
          <w:b w:val="0"/>
          <w:bCs w:val="0"/>
          <w:sz w:val="32"/>
          <w:szCs w:val="32"/>
          <w:lang w:val="en-US" w:eastAsia="zh-CN"/>
        </w:rPr>
        <w:t>表</w:t>
      </w:r>
    </w:p>
    <w:p w14:paraId="1121993F">
      <w:pPr>
        <w:pStyle w:val="2"/>
        <w:tabs>
          <w:tab w:val="left" w:pos="1765"/>
        </w:tabs>
        <w:spacing w:line="590" w:lineRule="exact"/>
        <w:ind w:right="0"/>
        <w:jc w:val="both"/>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lang w:val="en-US" w:eastAsia="zh-CN"/>
        </w:rPr>
        <w:t>一、</w:t>
      </w:r>
      <w:r>
        <w:rPr>
          <w:rFonts w:hint="eastAsia" w:ascii="仿宋_GB2312" w:hAnsi="仿宋_GB2312" w:eastAsia="仿宋_GB2312" w:cs="仿宋_GB2312"/>
          <w:b/>
          <w:bCs/>
          <w:color w:val="000000"/>
          <w:sz w:val="28"/>
          <w:szCs w:val="28"/>
        </w:rPr>
        <w:t>评</w:t>
      </w:r>
      <w:r>
        <w:rPr>
          <w:rFonts w:hint="eastAsia" w:ascii="仿宋_GB2312" w:hAnsi="仿宋_GB2312" w:eastAsia="仿宋_GB2312" w:cs="仿宋_GB2312"/>
          <w:b/>
          <w:bCs/>
          <w:color w:val="000000"/>
          <w:sz w:val="28"/>
          <w:szCs w:val="28"/>
          <w:lang w:val="en-US" w:eastAsia="zh-CN"/>
        </w:rPr>
        <w:t>分</w:t>
      </w:r>
      <w:r>
        <w:rPr>
          <w:rFonts w:hint="eastAsia" w:ascii="仿宋_GB2312" w:hAnsi="仿宋_GB2312" w:eastAsia="仿宋_GB2312" w:cs="仿宋_GB2312"/>
          <w:b/>
          <w:bCs/>
          <w:color w:val="000000"/>
          <w:sz w:val="28"/>
          <w:szCs w:val="28"/>
        </w:rPr>
        <w:t>前附表</w:t>
      </w:r>
    </w:p>
    <w:p w14:paraId="17D959D6">
      <w:pPr>
        <w:spacing w:before="0" w:line="240" w:lineRule="auto"/>
        <w:rPr>
          <w:rFonts w:hint="eastAsia" w:ascii="仿宋" w:hAnsi="仿宋" w:eastAsia="仿宋" w:cs="仿宋"/>
          <w:b/>
          <w:bCs/>
          <w:sz w:val="7"/>
          <w:szCs w:val="7"/>
        </w:rPr>
      </w:pPr>
      <w:bookmarkStart w:id="0" w:name="_GoBack"/>
      <w:bookmarkEnd w:id="0"/>
    </w:p>
    <w:p w14:paraId="4609FC84">
      <w:pPr>
        <w:pStyle w:val="6"/>
        <w:keepNext w:val="0"/>
        <w:keepLines w:val="0"/>
        <w:pageBreakBefore w:val="0"/>
        <w:widowControl w:val="0"/>
        <w:kinsoku/>
        <w:wordWrap/>
        <w:overflowPunct/>
        <w:topLinePunct w:val="0"/>
        <w:autoSpaceDE/>
        <w:autoSpaceDN/>
        <w:bidi w:val="0"/>
        <w:adjustRightInd/>
        <w:snapToGrid/>
        <w:spacing w:before="110" w:line="240" w:lineRule="auto"/>
        <w:ind w:right="2171" w:rightChars="0" w:firstLine="562" w:firstLineChars="200"/>
        <w:jc w:val="left"/>
        <w:textAlignment w:val="auto"/>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1.符合性审查标准</w:t>
      </w:r>
    </w:p>
    <w:tbl>
      <w:tblPr>
        <w:tblStyle w:val="13"/>
        <w:tblpPr w:leftFromText="180" w:rightFromText="180" w:vertAnchor="text" w:horzAnchor="page" w:tblpX="1103" w:tblpY="103"/>
        <w:tblOverlap w:val="never"/>
        <w:tblW w:w="0" w:type="auto"/>
        <w:tblInd w:w="0" w:type="dxa"/>
        <w:tblLayout w:type="fixed"/>
        <w:tblCellMar>
          <w:top w:w="0" w:type="dxa"/>
          <w:left w:w="0" w:type="dxa"/>
          <w:bottom w:w="0" w:type="dxa"/>
          <w:right w:w="0" w:type="dxa"/>
        </w:tblCellMar>
      </w:tblPr>
      <w:tblGrid>
        <w:gridCol w:w="811"/>
        <w:gridCol w:w="959"/>
        <w:gridCol w:w="1706"/>
        <w:gridCol w:w="5947"/>
      </w:tblGrid>
      <w:tr w14:paraId="1AAB3252">
        <w:tblPrEx>
          <w:tblCellMar>
            <w:top w:w="0" w:type="dxa"/>
            <w:left w:w="0" w:type="dxa"/>
            <w:bottom w:w="0" w:type="dxa"/>
            <w:right w:w="0" w:type="dxa"/>
          </w:tblCellMar>
        </w:tblPrEx>
        <w:trPr>
          <w:trHeight w:val="626" w:hRule="exact"/>
        </w:trPr>
        <w:tc>
          <w:tcPr>
            <w:tcW w:w="811" w:type="dxa"/>
            <w:tcBorders>
              <w:top w:val="single" w:color="000000" w:sz="4" w:space="0"/>
              <w:left w:val="single" w:color="000000" w:sz="4" w:space="0"/>
              <w:bottom w:val="single" w:color="000000" w:sz="4" w:space="0"/>
              <w:right w:val="single" w:color="000000" w:sz="4" w:space="0"/>
            </w:tcBorders>
            <w:noWrap w:val="0"/>
            <w:vAlign w:val="center"/>
          </w:tcPr>
          <w:p w14:paraId="2C368AE8">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lang w:val="en-US" w:eastAsia="zh-CN"/>
              </w:rPr>
              <w:t>序号</w:t>
            </w: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217DC5AA">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评审项</w:t>
            </w: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2EB78B9A">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评审因素</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04144803">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评审标准</w:t>
            </w:r>
          </w:p>
        </w:tc>
      </w:tr>
      <w:tr w14:paraId="3B5A5A7E">
        <w:tblPrEx>
          <w:tblCellMar>
            <w:top w:w="0" w:type="dxa"/>
            <w:left w:w="0" w:type="dxa"/>
            <w:bottom w:w="0" w:type="dxa"/>
            <w:right w:w="0" w:type="dxa"/>
          </w:tblCellMar>
        </w:tblPrEx>
        <w:trPr>
          <w:trHeight w:val="1398" w:hRule="exact"/>
        </w:trPr>
        <w:tc>
          <w:tcPr>
            <w:tcW w:w="811" w:type="dxa"/>
            <w:vMerge w:val="restart"/>
            <w:tcBorders>
              <w:top w:val="single" w:color="000000" w:sz="4" w:space="0"/>
              <w:left w:val="single" w:color="000000" w:sz="4" w:space="0"/>
              <w:right w:val="single" w:color="000000" w:sz="4" w:space="0"/>
            </w:tcBorders>
            <w:noWrap w:val="0"/>
            <w:vAlign w:val="center"/>
          </w:tcPr>
          <w:p w14:paraId="4E89A531">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1.1</w:t>
            </w:r>
          </w:p>
        </w:tc>
        <w:tc>
          <w:tcPr>
            <w:tcW w:w="959" w:type="dxa"/>
            <w:vMerge w:val="restart"/>
            <w:tcBorders>
              <w:top w:val="single" w:color="000000" w:sz="4" w:space="0"/>
              <w:left w:val="single" w:color="000000" w:sz="4" w:space="0"/>
              <w:right w:val="single" w:color="000000" w:sz="4" w:space="0"/>
            </w:tcBorders>
            <w:noWrap w:val="0"/>
            <w:vAlign w:val="center"/>
          </w:tcPr>
          <w:p w14:paraId="156CBAD2">
            <w:pPr>
              <w:pStyle w:val="23"/>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形</w:t>
            </w:r>
          </w:p>
          <w:p w14:paraId="16EE9618">
            <w:pPr>
              <w:pStyle w:val="23"/>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式</w:t>
            </w:r>
          </w:p>
          <w:p w14:paraId="2B61393F">
            <w:pPr>
              <w:pStyle w:val="23"/>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评</w:t>
            </w:r>
          </w:p>
          <w:p w14:paraId="4B26DEBC">
            <w:pPr>
              <w:pStyle w:val="23"/>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审</w:t>
            </w:r>
          </w:p>
        </w:tc>
        <w:tc>
          <w:tcPr>
            <w:tcW w:w="1706" w:type="dxa"/>
            <w:tcBorders>
              <w:top w:val="single" w:color="000000" w:sz="4" w:space="0"/>
              <w:left w:val="single" w:color="000000" w:sz="4" w:space="0"/>
              <w:right w:val="single" w:color="000000" w:sz="4" w:space="0"/>
            </w:tcBorders>
            <w:noWrap w:val="0"/>
            <w:vAlign w:val="center"/>
          </w:tcPr>
          <w:p w14:paraId="609F8E64">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供应商名称</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5A3AD4CE">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与市场监管部门或其他行政机关颁发的可以合法开展业务的执照或证书一致（营业执照或事业单位法人证书等证明材料）。</w:t>
            </w:r>
          </w:p>
        </w:tc>
      </w:tr>
      <w:tr w14:paraId="41A66BF9">
        <w:tblPrEx>
          <w:tblCellMar>
            <w:top w:w="0" w:type="dxa"/>
            <w:left w:w="0" w:type="dxa"/>
            <w:bottom w:w="0" w:type="dxa"/>
            <w:right w:w="0" w:type="dxa"/>
          </w:tblCellMar>
        </w:tblPrEx>
        <w:trPr>
          <w:trHeight w:val="907" w:hRule="exact"/>
        </w:trPr>
        <w:tc>
          <w:tcPr>
            <w:tcW w:w="811" w:type="dxa"/>
            <w:vMerge w:val="continue"/>
            <w:tcBorders>
              <w:left w:val="single" w:color="000000" w:sz="4" w:space="0"/>
              <w:right w:val="single" w:color="000000" w:sz="4" w:space="0"/>
            </w:tcBorders>
            <w:noWrap w:val="0"/>
            <w:vAlign w:val="center"/>
          </w:tcPr>
          <w:p w14:paraId="69F8116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right w:val="single" w:color="000000" w:sz="4" w:space="0"/>
            </w:tcBorders>
            <w:noWrap w:val="0"/>
            <w:vAlign w:val="center"/>
          </w:tcPr>
          <w:p w14:paraId="33E18B7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52C22246">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书面承诺函</w:t>
            </w:r>
          </w:p>
          <w:p w14:paraId="56BC54A2">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格式及内容</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28968D5E">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应符合</w:t>
            </w:r>
            <w:r>
              <w:rPr>
                <w:rFonts w:hint="eastAsia" w:ascii="仿宋_GB2312" w:hAnsi="仿宋_GB2312" w:eastAsia="仿宋_GB2312" w:cs="仿宋_GB2312"/>
                <w:color w:val="000000"/>
                <w:sz w:val="24"/>
                <w:szCs w:val="24"/>
                <w:lang w:val="en-US" w:eastAsia="zh-CN"/>
              </w:rPr>
              <w:t>招标</w:t>
            </w:r>
            <w:r>
              <w:rPr>
                <w:rFonts w:hint="eastAsia" w:ascii="仿宋_GB2312" w:hAnsi="仿宋_GB2312" w:eastAsia="仿宋_GB2312" w:cs="仿宋_GB2312"/>
                <w:color w:val="000000"/>
                <w:sz w:val="24"/>
                <w:szCs w:val="24"/>
              </w:rPr>
              <w:t>文件的要求</w:t>
            </w:r>
            <w:r>
              <w:rPr>
                <w:rFonts w:hint="eastAsia" w:ascii="仿宋_GB2312" w:hAnsi="仿宋_GB2312" w:eastAsia="仿宋_GB2312" w:cs="仿宋_GB2312"/>
                <w:color w:val="000000"/>
                <w:sz w:val="24"/>
                <w:szCs w:val="24"/>
                <w:lang w:eastAsia="zh-CN"/>
              </w:rPr>
              <w:t>。</w:t>
            </w:r>
          </w:p>
        </w:tc>
      </w:tr>
      <w:tr w14:paraId="5FF27D94">
        <w:tblPrEx>
          <w:tblCellMar>
            <w:top w:w="0" w:type="dxa"/>
            <w:left w:w="0" w:type="dxa"/>
            <w:bottom w:w="0" w:type="dxa"/>
            <w:right w:w="0" w:type="dxa"/>
          </w:tblCellMar>
        </w:tblPrEx>
        <w:trPr>
          <w:trHeight w:val="567" w:hRule="exact"/>
        </w:trPr>
        <w:tc>
          <w:tcPr>
            <w:tcW w:w="811" w:type="dxa"/>
            <w:vMerge w:val="continue"/>
            <w:tcBorders>
              <w:left w:val="single" w:color="000000" w:sz="4" w:space="0"/>
              <w:right w:val="single" w:color="000000" w:sz="4" w:space="0"/>
            </w:tcBorders>
            <w:noWrap w:val="0"/>
            <w:vAlign w:val="center"/>
          </w:tcPr>
          <w:p w14:paraId="009AC01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right w:val="single" w:color="000000" w:sz="4" w:space="0"/>
            </w:tcBorders>
            <w:noWrap w:val="0"/>
            <w:vAlign w:val="center"/>
          </w:tcPr>
          <w:p w14:paraId="38F4ED0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1B05AA8F">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联合体响应</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2C6C913C">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本项目不接受联合体响应</w:t>
            </w:r>
            <w:r>
              <w:rPr>
                <w:rFonts w:hint="eastAsia" w:ascii="仿宋_GB2312" w:hAnsi="仿宋_GB2312" w:eastAsia="仿宋_GB2312" w:cs="仿宋_GB2312"/>
                <w:color w:val="000000"/>
                <w:sz w:val="24"/>
                <w:szCs w:val="24"/>
                <w:lang w:eastAsia="zh-CN"/>
              </w:rPr>
              <w:t>。</w:t>
            </w:r>
          </w:p>
        </w:tc>
      </w:tr>
      <w:tr w14:paraId="68A72068">
        <w:tblPrEx>
          <w:tblCellMar>
            <w:top w:w="0" w:type="dxa"/>
            <w:left w:w="0" w:type="dxa"/>
            <w:bottom w:w="0" w:type="dxa"/>
            <w:right w:w="0" w:type="dxa"/>
          </w:tblCellMar>
        </w:tblPrEx>
        <w:trPr>
          <w:trHeight w:val="537" w:hRule="exact"/>
        </w:trPr>
        <w:tc>
          <w:tcPr>
            <w:tcW w:w="811" w:type="dxa"/>
            <w:vMerge w:val="continue"/>
            <w:tcBorders>
              <w:left w:val="single" w:color="000000" w:sz="4" w:space="0"/>
              <w:bottom w:val="single" w:color="000000" w:sz="4" w:space="0"/>
              <w:right w:val="single" w:color="000000" w:sz="4" w:space="0"/>
            </w:tcBorders>
            <w:noWrap w:val="0"/>
            <w:vAlign w:val="center"/>
          </w:tcPr>
          <w:p w14:paraId="1E13841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bottom w:val="single" w:color="000000" w:sz="4" w:space="0"/>
              <w:right w:val="single" w:color="000000" w:sz="4" w:space="0"/>
            </w:tcBorders>
            <w:noWrap w:val="0"/>
            <w:vAlign w:val="center"/>
          </w:tcPr>
          <w:p w14:paraId="2BD5A46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51056843">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其他要求</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7C97D61A">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应符合</w:t>
            </w:r>
            <w:r>
              <w:rPr>
                <w:rFonts w:hint="eastAsia" w:ascii="仿宋_GB2312" w:hAnsi="仿宋_GB2312" w:eastAsia="仿宋_GB2312" w:cs="仿宋_GB2312"/>
                <w:color w:val="000000"/>
                <w:sz w:val="24"/>
                <w:szCs w:val="24"/>
                <w:lang w:val="en-US" w:eastAsia="zh-CN"/>
              </w:rPr>
              <w:t>招标</w:t>
            </w:r>
            <w:r>
              <w:rPr>
                <w:rFonts w:hint="eastAsia" w:ascii="仿宋_GB2312" w:hAnsi="仿宋_GB2312" w:eastAsia="仿宋_GB2312" w:cs="仿宋_GB2312"/>
                <w:color w:val="000000"/>
                <w:sz w:val="24"/>
                <w:szCs w:val="24"/>
              </w:rPr>
              <w:t>文件的要求</w:t>
            </w:r>
            <w:r>
              <w:rPr>
                <w:rFonts w:hint="eastAsia" w:ascii="仿宋_GB2312" w:hAnsi="仿宋_GB2312" w:eastAsia="仿宋_GB2312" w:cs="仿宋_GB2312"/>
                <w:color w:val="000000"/>
                <w:sz w:val="24"/>
                <w:szCs w:val="24"/>
                <w:lang w:eastAsia="zh-CN"/>
              </w:rPr>
              <w:t>。</w:t>
            </w:r>
          </w:p>
        </w:tc>
      </w:tr>
      <w:tr w14:paraId="13C48654">
        <w:tblPrEx>
          <w:tblCellMar>
            <w:top w:w="0" w:type="dxa"/>
            <w:left w:w="0" w:type="dxa"/>
            <w:bottom w:w="0" w:type="dxa"/>
            <w:right w:w="0" w:type="dxa"/>
          </w:tblCellMar>
        </w:tblPrEx>
        <w:trPr>
          <w:trHeight w:val="2257" w:hRule="exact"/>
        </w:trPr>
        <w:tc>
          <w:tcPr>
            <w:tcW w:w="811" w:type="dxa"/>
            <w:vMerge w:val="restart"/>
            <w:tcBorders>
              <w:top w:val="single" w:color="000000" w:sz="4" w:space="0"/>
              <w:left w:val="single" w:color="000000" w:sz="4" w:space="0"/>
              <w:right w:val="single" w:color="000000" w:sz="4" w:space="0"/>
            </w:tcBorders>
            <w:noWrap w:val="0"/>
            <w:vAlign w:val="center"/>
          </w:tcPr>
          <w:p w14:paraId="3F2CA592">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1.2</w:t>
            </w:r>
          </w:p>
        </w:tc>
        <w:tc>
          <w:tcPr>
            <w:tcW w:w="959" w:type="dxa"/>
            <w:vMerge w:val="restart"/>
            <w:tcBorders>
              <w:top w:val="single" w:color="000000" w:sz="4" w:space="0"/>
              <w:left w:val="single" w:color="000000" w:sz="4" w:space="0"/>
              <w:right w:val="single" w:color="000000" w:sz="4" w:space="0"/>
            </w:tcBorders>
            <w:noWrap w:val="0"/>
            <w:vAlign w:val="center"/>
          </w:tcPr>
          <w:p w14:paraId="403327E0">
            <w:pPr>
              <w:pStyle w:val="23"/>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资</w:t>
            </w:r>
          </w:p>
          <w:p w14:paraId="04C5F4CE">
            <w:pPr>
              <w:pStyle w:val="23"/>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格</w:t>
            </w:r>
          </w:p>
          <w:p w14:paraId="3E67D29D">
            <w:pPr>
              <w:pStyle w:val="23"/>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评</w:t>
            </w:r>
          </w:p>
          <w:p w14:paraId="6E5ECF41">
            <w:pPr>
              <w:pStyle w:val="23"/>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审</w:t>
            </w: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6756E98D">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资格要求</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332EDE0B">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pacing w:val="4"/>
                <w:sz w:val="24"/>
                <w:szCs w:val="24"/>
              </w:rPr>
              <w:t>1.符合《中华人民共和国政府采购法》第二十二条规定的</w:t>
            </w:r>
            <w:r>
              <w:rPr>
                <w:rFonts w:hint="eastAsia" w:ascii="仿宋_GB2312" w:hAnsi="仿宋_GB2312" w:eastAsia="仿宋_GB2312" w:cs="仿宋_GB2312"/>
                <w:color w:val="000000"/>
                <w:sz w:val="24"/>
                <w:szCs w:val="24"/>
              </w:rPr>
              <w:t>条件（提供书面承诺）；</w:t>
            </w:r>
          </w:p>
          <w:p w14:paraId="35063EF1">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pacing w:val="4"/>
                <w:sz w:val="24"/>
                <w:szCs w:val="24"/>
              </w:rPr>
              <w:t>2.单位负责人为同一人或者存在直接控股、管理关系的不同供应商，不得参加同一合同项下的采购活动（提供书面</w:t>
            </w:r>
            <w:r>
              <w:rPr>
                <w:rFonts w:hint="eastAsia" w:ascii="仿宋_GB2312" w:hAnsi="仿宋_GB2312" w:eastAsia="仿宋_GB2312" w:cs="仿宋_GB2312"/>
                <w:color w:val="000000"/>
                <w:sz w:val="24"/>
                <w:szCs w:val="24"/>
              </w:rPr>
              <w:t>承诺）。</w:t>
            </w:r>
          </w:p>
        </w:tc>
      </w:tr>
      <w:tr w14:paraId="65E0F5E0">
        <w:tblPrEx>
          <w:tblCellMar>
            <w:top w:w="0" w:type="dxa"/>
            <w:left w:w="0" w:type="dxa"/>
            <w:bottom w:w="0" w:type="dxa"/>
            <w:right w:w="0" w:type="dxa"/>
          </w:tblCellMar>
        </w:tblPrEx>
        <w:trPr>
          <w:trHeight w:val="3652" w:hRule="exact"/>
        </w:trPr>
        <w:tc>
          <w:tcPr>
            <w:tcW w:w="811" w:type="dxa"/>
            <w:vMerge w:val="continue"/>
            <w:tcBorders>
              <w:left w:val="single" w:color="000000" w:sz="4" w:space="0"/>
              <w:right w:val="single" w:color="000000" w:sz="4" w:space="0"/>
            </w:tcBorders>
            <w:noWrap w:val="0"/>
            <w:vAlign w:val="center"/>
          </w:tcPr>
          <w:p w14:paraId="5A84394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right w:val="single" w:color="000000" w:sz="4" w:space="0"/>
            </w:tcBorders>
            <w:noWrap w:val="0"/>
            <w:vAlign w:val="center"/>
          </w:tcPr>
          <w:p w14:paraId="56A23FA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7DE9BBEC">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信用要求</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6824358A">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pacing w:val="4"/>
                <w:sz w:val="24"/>
                <w:szCs w:val="24"/>
              </w:rPr>
              <w:t>至提交首次响应文件截止时间，供应商（含其不具有独立法人资格的分支机构）不得存在下列不良信用记录情形之</w:t>
            </w:r>
            <w:r>
              <w:rPr>
                <w:rFonts w:hint="eastAsia" w:ascii="仿宋_GB2312" w:hAnsi="仿宋_GB2312" w:eastAsia="仿宋_GB2312" w:cs="仿宋_GB2312"/>
                <w:color w:val="000000"/>
                <w:sz w:val="24"/>
                <w:szCs w:val="24"/>
              </w:rPr>
              <w:t>一：</w:t>
            </w:r>
          </w:p>
          <w:p w14:paraId="112B347B">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1.被人民法院列入失信被执行人名单的；</w:t>
            </w:r>
          </w:p>
          <w:p w14:paraId="3AE6F280">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2.被税务部门列入重大税收违法失信主体的；</w:t>
            </w:r>
          </w:p>
          <w:p w14:paraId="25DDE127">
            <w:pPr>
              <w:pStyle w:val="23"/>
              <w:keepNext w:val="0"/>
              <w:keepLines w:val="0"/>
              <w:pageBreakBefore w:val="0"/>
              <w:widowControl w:val="0"/>
              <w:kinsoku/>
              <w:wordWrap/>
              <w:overflowPunct/>
              <w:topLinePunct w:val="0"/>
              <w:autoSpaceDE/>
              <w:autoSpaceDN/>
              <w:bidi w:val="0"/>
              <w:adjustRightInd/>
              <w:snapToGrid/>
              <w:spacing w:line="400" w:lineRule="exact"/>
              <w:ind w:left="103" w:right="102"/>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3.被列入政府采购严重违法失信名单的。</w:t>
            </w:r>
          </w:p>
          <w:p w14:paraId="3705F61A">
            <w:pPr>
              <w:pStyle w:val="23"/>
              <w:keepNext w:val="0"/>
              <w:keepLines w:val="0"/>
              <w:pageBreakBefore w:val="0"/>
              <w:widowControl w:val="0"/>
              <w:kinsoku/>
              <w:wordWrap/>
              <w:overflowPunct/>
              <w:topLinePunct w:val="0"/>
              <w:autoSpaceDE/>
              <w:autoSpaceDN/>
              <w:bidi w:val="0"/>
              <w:adjustRightInd/>
              <w:snapToGrid/>
              <w:spacing w:line="400" w:lineRule="exact"/>
              <w:ind w:left="103" w:right="102"/>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b w:val="0"/>
                <w:bCs w:val="0"/>
                <w:color w:val="000000"/>
                <w:spacing w:val="13"/>
                <w:sz w:val="24"/>
                <w:szCs w:val="24"/>
              </w:rPr>
              <w:t>注：是否有不良信用记录，仅以评审当日查询的结果为</w:t>
            </w:r>
            <w:r>
              <w:rPr>
                <w:rFonts w:hint="eastAsia" w:ascii="仿宋_GB2312" w:hAnsi="仿宋_GB2312" w:eastAsia="仿宋_GB2312" w:cs="仿宋_GB2312"/>
                <w:b w:val="0"/>
                <w:bCs w:val="0"/>
                <w:color w:val="000000"/>
                <w:sz w:val="24"/>
                <w:szCs w:val="24"/>
              </w:rPr>
              <w:t>准。</w:t>
            </w:r>
          </w:p>
        </w:tc>
      </w:tr>
      <w:tr w14:paraId="26265929">
        <w:tblPrEx>
          <w:tblCellMar>
            <w:top w:w="0" w:type="dxa"/>
            <w:left w:w="0" w:type="dxa"/>
            <w:bottom w:w="0" w:type="dxa"/>
            <w:right w:w="0" w:type="dxa"/>
          </w:tblCellMar>
        </w:tblPrEx>
        <w:trPr>
          <w:trHeight w:val="680" w:hRule="exact"/>
        </w:trPr>
        <w:tc>
          <w:tcPr>
            <w:tcW w:w="811" w:type="dxa"/>
            <w:vMerge w:val="continue"/>
            <w:tcBorders>
              <w:left w:val="single" w:color="000000" w:sz="4" w:space="0"/>
              <w:bottom w:val="single" w:color="000000" w:sz="4" w:space="0"/>
              <w:right w:val="single" w:color="000000" w:sz="4" w:space="0"/>
            </w:tcBorders>
            <w:noWrap w:val="0"/>
            <w:vAlign w:val="center"/>
          </w:tcPr>
          <w:p w14:paraId="1A071F3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bottom w:val="single" w:color="000000" w:sz="4" w:space="0"/>
              <w:right w:val="single" w:color="000000" w:sz="4" w:space="0"/>
            </w:tcBorders>
            <w:noWrap w:val="0"/>
            <w:vAlign w:val="center"/>
          </w:tcPr>
          <w:p w14:paraId="1C9CC27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114F731B">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其他要求</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69D71571">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招标</w:t>
            </w:r>
            <w:r>
              <w:rPr>
                <w:rFonts w:hint="eastAsia" w:ascii="仿宋_GB2312" w:hAnsi="仿宋_GB2312" w:eastAsia="仿宋_GB2312" w:cs="仿宋_GB2312"/>
                <w:color w:val="000000"/>
                <w:sz w:val="24"/>
                <w:szCs w:val="24"/>
              </w:rPr>
              <w:t>文件其他实质性要求</w:t>
            </w:r>
            <w:r>
              <w:rPr>
                <w:rFonts w:hint="eastAsia" w:ascii="仿宋_GB2312" w:hAnsi="仿宋_GB2312" w:eastAsia="仿宋_GB2312" w:cs="仿宋_GB2312"/>
                <w:color w:val="000000"/>
                <w:sz w:val="24"/>
                <w:szCs w:val="24"/>
                <w:lang w:eastAsia="zh-CN"/>
              </w:rPr>
              <w:t>。</w:t>
            </w:r>
          </w:p>
        </w:tc>
      </w:tr>
      <w:tr w14:paraId="59BA4172">
        <w:tblPrEx>
          <w:tblCellMar>
            <w:top w:w="0" w:type="dxa"/>
            <w:left w:w="0" w:type="dxa"/>
            <w:bottom w:w="0" w:type="dxa"/>
            <w:right w:w="0" w:type="dxa"/>
          </w:tblCellMar>
        </w:tblPrEx>
        <w:trPr>
          <w:trHeight w:val="1464" w:hRule="exact"/>
        </w:trPr>
        <w:tc>
          <w:tcPr>
            <w:tcW w:w="811" w:type="dxa"/>
            <w:tcBorders>
              <w:top w:val="single" w:color="000000" w:sz="4" w:space="0"/>
              <w:left w:val="single" w:color="000000" w:sz="4" w:space="0"/>
              <w:bottom w:val="single" w:color="000000" w:sz="4" w:space="0"/>
              <w:right w:val="single" w:color="000000" w:sz="4" w:space="0"/>
            </w:tcBorders>
            <w:noWrap w:val="0"/>
            <w:vAlign w:val="center"/>
          </w:tcPr>
          <w:p w14:paraId="7A11AD29">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4E71AC64">
            <w:pPr>
              <w:pStyle w:val="23"/>
              <w:keepNext w:val="0"/>
              <w:keepLines w:val="0"/>
              <w:pageBreakBefore w:val="0"/>
              <w:widowControl w:val="0"/>
              <w:kinsoku/>
              <w:wordWrap/>
              <w:overflowPunct/>
              <w:topLinePunct w:val="0"/>
              <w:autoSpaceDE/>
              <w:autoSpaceDN/>
              <w:bidi w:val="0"/>
              <w:adjustRightInd/>
              <w:snapToGrid/>
              <w:spacing w:line="400" w:lineRule="exact"/>
              <w:ind w:left="210" w:right="104" w:hanging="105"/>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47735942">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响应报价</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632AFB14">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pacing w:val="-5"/>
                <w:sz w:val="24"/>
                <w:szCs w:val="24"/>
              </w:rPr>
              <w:t>响应报价不得超过采购预算（最高限价），只能有一个有效</w:t>
            </w:r>
            <w:r>
              <w:rPr>
                <w:rFonts w:hint="eastAsia" w:ascii="仿宋_GB2312" w:hAnsi="仿宋_GB2312" w:eastAsia="仿宋_GB2312" w:cs="仿宋_GB2312"/>
                <w:color w:val="000000"/>
                <w:sz w:val="24"/>
                <w:szCs w:val="24"/>
              </w:rPr>
              <w:t>报价，不得提交选择性报价。</w:t>
            </w:r>
          </w:p>
        </w:tc>
      </w:tr>
      <w:tr w14:paraId="707FB230">
        <w:tblPrEx>
          <w:tblCellMar>
            <w:top w:w="0" w:type="dxa"/>
            <w:left w:w="0" w:type="dxa"/>
            <w:bottom w:w="0" w:type="dxa"/>
            <w:right w:w="0" w:type="dxa"/>
          </w:tblCellMar>
        </w:tblPrEx>
        <w:trPr>
          <w:trHeight w:val="917" w:hRule="exact"/>
        </w:trPr>
        <w:tc>
          <w:tcPr>
            <w:tcW w:w="811" w:type="dxa"/>
            <w:vMerge w:val="restart"/>
            <w:tcBorders>
              <w:top w:val="single" w:color="000000" w:sz="4" w:space="0"/>
              <w:left w:val="single" w:color="000000" w:sz="4" w:space="0"/>
              <w:right w:val="single" w:color="000000" w:sz="4" w:space="0"/>
            </w:tcBorders>
            <w:noWrap w:val="0"/>
            <w:vAlign w:val="center"/>
          </w:tcPr>
          <w:p w14:paraId="16F0C889">
            <w:pPr>
              <w:pStyle w:val="23"/>
              <w:keepNext w:val="0"/>
              <w:keepLines w:val="0"/>
              <w:pageBreakBefore w:val="0"/>
              <w:widowControl w:val="0"/>
              <w:kinsoku/>
              <w:wordWrap/>
              <w:overflowPunct/>
              <w:topLinePunct w:val="0"/>
              <w:autoSpaceDE/>
              <w:autoSpaceDN/>
              <w:bidi w:val="0"/>
              <w:adjustRightInd/>
              <w:snapToGrid/>
              <w:spacing w:line="400" w:lineRule="exact"/>
              <w:ind w:right="0" w:rightChars="0"/>
              <w:jc w:val="center"/>
              <w:textAlignment w:val="auto"/>
              <w:rPr>
                <w:rFonts w:hint="eastAsia" w:ascii="仿宋_GB2312" w:hAnsi="仿宋_GB2312" w:eastAsia="仿宋_GB2312" w:cs="仿宋_GB2312"/>
                <w:color w:val="000000"/>
                <w:kern w:val="2"/>
                <w:sz w:val="24"/>
                <w:szCs w:val="24"/>
                <w:lang w:val="en-US" w:eastAsia="zh-CN" w:bidi="ar-SA"/>
              </w:rPr>
            </w:pPr>
            <w:r>
              <w:rPr>
                <w:rFonts w:hint="eastAsia" w:ascii="仿宋_GB2312" w:hAnsi="仿宋_GB2312" w:eastAsia="仿宋_GB2312" w:cs="仿宋_GB2312"/>
                <w:color w:val="000000"/>
                <w:sz w:val="24"/>
                <w:szCs w:val="24"/>
              </w:rPr>
              <w:t>1.3</w:t>
            </w:r>
          </w:p>
        </w:tc>
        <w:tc>
          <w:tcPr>
            <w:tcW w:w="959" w:type="dxa"/>
            <w:vMerge w:val="restart"/>
            <w:tcBorders>
              <w:top w:val="single" w:color="000000" w:sz="4" w:space="0"/>
              <w:left w:val="single" w:color="000000" w:sz="4" w:space="0"/>
              <w:right w:val="single" w:color="000000" w:sz="4" w:space="0"/>
            </w:tcBorders>
            <w:noWrap w:val="0"/>
            <w:vAlign w:val="center"/>
          </w:tcPr>
          <w:p w14:paraId="66B31912">
            <w:pPr>
              <w:pStyle w:val="23"/>
              <w:keepNext w:val="0"/>
              <w:keepLines w:val="0"/>
              <w:pageBreakBefore w:val="0"/>
              <w:widowControl w:val="0"/>
              <w:kinsoku/>
              <w:wordWrap/>
              <w:overflowPunct/>
              <w:topLinePunct w:val="0"/>
              <w:autoSpaceDE/>
              <w:autoSpaceDN/>
              <w:bidi w:val="0"/>
              <w:adjustRightInd/>
              <w:snapToGrid/>
              <w:spacing w:line="400" w:lineRule="exact"/>
              <w:ind w:left="210" w:right="104" w:hanging="105"/>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响</w:t>
            </w:r>
          </w:p>
          <w:p w14:paraId="41233FDF">
            <w:pPr>
              <w:pStyle w:val="23"/>
              <w:keepNext w:val="0"/>
              <w:keepLines w:val="0"/>
              <w:pageBreakBefore w:val="0"/>
              <w:widowControl w:val="0"/>
              <w:kinsoku/>
              <w:wordWrap/>
              <w:overflowPunct/>
              <w:topLinePunct w:val="0"/>
              <w:autoSpaceDE/>
              <w:autoSpaceDN/>
              <w:bidi w:val="0"/>
              <w:adjustRightInd/>
              <w:snapToGrid/>
              <w:spacing w:line="400" w:lineRule="exact"/>
              <w:ind w:left="210" w:right="104" w:hanging="105"/>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应</w:t>
            </w:r>
          </w:p>
          <w:p w14:paraId="00A41397">
            <w:pPr>
              <w:pStyle w:val="23"/>
              <w:keepNext w:val="0"/>
              <w:keepLines w:val="0"/>
              <w:pageBreakBefore w:val="0"/>
              <w:widowControl w:val="0"/>
              <w:kinsoku/>
              <w:wordWrap/>
              <w:overflowPunct/>
              <w:topLinePunct w:val="0"/>
              <w:autoSpaceDE/>
              <w:autoSpaceDN/>
              <w:bidi w:val="0"/>
              <w:adjustRightInd/>
              <w:snapToGrid/>
              <w:spacing w:line="400" w:lineRule="exact"/>
              <w:ind w:left="210" w:right="104" w:hanging="105"/>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性</w:t>
            </w:r>
          </w:p>
          <w:p w14:paraId="762DD19A">
            <w:pPr>
              <w:pStyle w:val="23"/>
              <w:keepNext w:val="0"/>
              <w:keepLines w:val="0"/>
              <w:pageBreakBefore w:val="0"/>
              <w:widowControl w:val="0"/>
              <w:kinsoku/>
              <w:wordWrap/>
              <w:overflowPunct/>
              <w:topLinePunct w:val="0"/>
              <w:autoSpaceDE/>
              <w:autoSpaceDN/>
              <w:bidi w:val="0"/>
              <w:adjustRightInd/>
              <w:snapToGrid/>
              <w:spacing w:line="400" w:lineRule="exact"/>
              <w:ind w:left="210" w:right="104" w:hanging="105"/>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评</w:t>
            </w:r>
          </w:p>
          <w:p w14:paraId="3B73D4CA">
            <w:pPr>
              <w:pStyle w:val="23"/>
              <w:keepNext w:val="0"/>
              <w:keepLines w:val="0"/>
              <w:pageBreakBefore w:val="0"/>
              <w:widowControl w:val="0"/>
              <w:kinsoku/>
              <w:wordWrap/>
              <w:overflowPunct/>
              <w:topLinePunct w:val="0"/>
              <w:autoSpaceDE/>
              <w:autoSpaceDN/>
              <w:bidi w:val="0"/>
              <w:adjustRightInd/>
              <w:snapToGrid/>
              <w:spacing w:line="400" w:lineRule="exact"/>
              <w:ind w:left="210" w:leftChars="0" w:right="104" w:rightChars="0" w:hanging="105" w:firstLineChars="0"/>
              <w:jc w:val="center"/>
              <w:textAlignment w:val="auto"/>
              <w:rPr>
                <w:rFonts w:hint="eastAsia" w:ascii="仿宋_GB2312" w:hAnsi="仿宋_GB2312" w:eastAsia="仿宋_GB2312" w:cs="仿宋_GB2312"/>
                <w:color w:val="000000"/>
                <w:kern w:val="2"/>
                <w:sz w:val="24"/>
                <w:szCs w:val="24"/>
                <w:lang w:val="en-US" w:eastAsia="zh-CN" w:bidi="ar-SA"/>
              </w:rPr>
            </w:pPr>
            <w:r>
              <w:rPr>
                <w:rFonts w:hint="eastAsia" w:ascii="仿宋_GB2312" w:hAnsi="仿宋_GB2312" w:eastAsia="仿宋_GB2312" w:cs="仿宋_GB2312"/>
                <w:color w:val="000000"/>
                <w:sz w:val="24"/>
                <w:szCs w:val="24"/>
              </w:rPr>
              <w:t>审</w:t>
            </w: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4645278F">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响应文件</w:t>
            </w:r>
          </w:p>
          <w:p w14:paraId="2778947D">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FF0000"/>
                <w:sz w:val="24"/>
                <w:szCs w:val="24"/>
              </w:rPr>
            </w:pPr>
            <w:r>
              <w:rPr>
                <w:rFonts w:hint="eastAsia" w:ascii="仿宋_GB2312" w:hAnsi="仿宋_GB2312" w:eastAsia="仿宋_GB2312" w:cs="仿宋_GB2312"/>
                <w:color w:val="000000"/>
                <w:sz w:val="24"/>
                <w:szCs w:val="24"/>
              </w:rPr>
              <w:t>有效期</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138CBA97">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FF0000"/>
                <w:sz w:val="24"/>
                <w:szCs w:val="24"/>
                <w:lang w:eastAsia="zh-CN"/>
              </w:rPr>
            </w:pPr>
            <w:r>
              <w:rPr>
                <w:rFonts w:hint="eastAsia" w:ascii="仿宋_GB2312" w:hAnsi="仿宋_GB2312" w:eastAsia="仿宋_GB2312" w:cs="仿宋_GB2312"/>
                <w:color w:val="000000"/>
                <w:sz w:val="24"/>
                <w:szCs w:val="24"/>
              </w:rPr>
              <w:t>应符合</w:t>
            </w:r>
            <w:r>
              <w:rPr>
                <w:rFonts w:hint="eastAsia" w:ascii="仿宋_GB2312" w:hAnsi="仿宋_GB2312" w:eastAsia="仿宋_GB2312" w:cs="仿宋_GB2312"/>
                <w:color w:val="000000"/>
                <w:sz w:val="24"/>
                <w:szCs w:val="24"/>
                <w:lang w:val="en-US" w:eastAsia="zh-CN"/>
              </w:rPr>
              <w:t>招标</w:t>
            </w:r>
            <w:r>
              <w:rPr>
                <w:rFonts w:hint="eastAsia" w:ascii="仿宋_GB2312" w:hAnsi="仿宋_GB2312" w:eastAsia="仿宋_GB2312" w:cs="仿宋_GB2312"/>
                <w:color w:val="000000"/>
                <w:sz w:val="24"/>
                <w:szCs w:val="24"/>
              </w:rPr>
              <w:t>文件的要求</w:t>
            </w:r>
            <w:r>
              <w:rPr>
                <w:rFonts w:hint="eastAsia" w:ascii="仿宋_GB2312" w:hAnsi="仿宋_GB2312" w:eastAsia="仿宋_GB2312" w:cs="仿宋_GB2312"/>
                <w:color w:val="000000"/>
                <w:sz w:val="24"/>
                <w:szCs w:val="24"/>
                <w:lang w:eastAsia="zh-CN"/>
              </w:rPr>
              <w:t>。</w:t>
            </w:r>
          </w:p>
        </w:tc>
      </w:tr>
      <w:tr w14:paraId="4934A1B8">
        <w:tblPrEx>
          <w:tblCellMar>
            <w:top w:w="0" w:type="dxa"/>
            <w:left w:w="0" w:type="dxa"/>
            <w:bottom w:w="0" w:type="dxa"/>
            <w:right w:w="0" w:type="dxa"/>
          </w:tblCellMar>
        </w:tblPrEx>
        <w:trPr>
          <w:trHeight w:val="907" w:hRule="exact"/>
        </w:trPr>
        <w:tc>
          <w:tcPr>
            <w:tcW w:w="811" w:type="dxa"/>
            <w:vMerge w:val="continue"/>
            <w:tcBorders>
              <w:left w:val="single" w:color="000000" w:sz="4" w:space="0"/>
              <w:right w:val="single" w:color="000000" w:sz="4" w:space="0"/>
            </w:tcBorders>
            <w:noWrap w:val="0"/>
            <w:vAlign w:val="center"/>
          </w:tcPr>
          <w:p w14:paraId="021E9B0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right w:val="single" w:color="000000" w:sz="4" w:space="0"/>
            </w:tcBorders>
            <w:noWrap w:val="0"/>
            <w:vAlign w:val="center"/>
          </w:tcPr>
          <w:p w14:paraId="1CCCCE2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20CBDFD5">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服务期</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110BE523">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应符合</w:t>
            </w:r>
            <w:r>
              <w:rPr>
                <w:rFonts w:hint="eastAsia" w:ascii="仿宋_GB2312" w:hAnsi="仿宋_GB2312" w:eastAsia="仿宋_GB2312" w:cs="仿宋_GB2312"/>
                <w:color w:val="000000"/>
                <w:sz w:val="24"/>
                <w:szCs w:val="24"/>
                <w:lang w:val="en-US" w:eastAsia="zh-CN"/>
              </w:rPr>
              <w:t>招标</w:t>
            </w:r>
            <w:r>
              <w:rPr>
                <w:rFonts w:hint="eastAsia" w:ascii="仿宋_GB2312" w:hAnsi="仿宋_GB2312" w:eastAsia="仿宋_GB2312" w:cs="仿宋_GB2312"/>
                <w:color w:val="000000"/>
                <w:sz w:val="24"/>
                <w:szCs w:val="24"/>
              </w:rPr>
              <w:t>文件的要求</w:t>
            </w:r>
            <w:r>
              <w:rPr>
                <w:rFonts w:hint="eastAsia" w:ascii="仿宋_GB2312" w:hAnsi="仿宋_GB2312" w:eastAsia="仿宋_GB2312" w:cs="仿宋_GB2312"/>
                <w:color w:val="000000"/>
                <w:sz w:val="24"/>
                <w:szCs w:val="24"/>
                <w:lang w:eastAsia="zh-CN"/>
              </w:rPr>
              <w:t>。</w:t>
            </w:r>
          </w:p>
        </w:tc>
      </w:tr>
      <w:tr w14:paraId="1CFB06E8">
        <w:tblPrEx>
          <w:tblCellMar>
            <w:top w:w="0" w:type="dxa"/>
            <w:left w:w="0" w:type="dxa"/>
            <w:bottom w:w="0" w:type="dxa"/>
            <w:right w:w="0" w:type="dxa"/>
          </w:tblCellMar>
        </w:tblPrEx>
        <w:trPr>
          <w:trHeight w:val="959" w:hRule="exact"/>
        </w:trPr>
        <w:tc>
          <w:tcPr>
            <w:tcW w:w="811" w:type="dxa"/>
            <w:vMerge w:val="continue"/>
            <w:tcBorders>
              <w:left w:val="single" w:color="000000" w:sz="4" w:space="0"/>
              <w:right w:val="single" w:color="000000" w:sz="4" w:space="0"/>
            </w:tcBorders>
            <w:shd w:val="clear" w:color="auto" w:fill="auto"/>
            <w:noWrap w:val="0"/>
            <w:vAlign w:val="center"/>
          </w:tcPr>
          <w:p w14:paraId="08299F15">
            <w:pPr>
              <w:pStyle w:val="23"/>
              <w:keepNext w:val="0"/>
              <w:keepLines w:val="0"/>
              <w:pageBreakBefore w:val="0"/>
              <w:widowControl w:val="0"/>
              <w:kinsoku/>
              <w:wordWrap/>
              <w:overflowPunct/>
              <w:topLinePunct w:val="0"/>
              <w:autoSpaceDE/>
              <w:autoSpaceDN/>
              <w:bidi w:val="0"/>
              <w:adjustRightInd/>
              <w:snapToGrid/>
              <w:spacing w:line="400" w:lineRule="exact"/>
              <w:ind w:right="0" w:rightChars="0"/>
              <w:jc w:val="center"/>
              <w:textAlignment w:val="auto"/>
              <w:rPr>
                <w:rFonts w:hint="eastAsia" w:ascii="仿宋_GB2312" w:hAnsi="仿宋_GB2312" w:eastAsia="仿宋_GB2312" w:cs="仿宋_GB2312"/>
                <w:color w:val="000000"/>
                <w:kern w:val="2"/>
                <w:sz w:val="24"/>
                <w:szCs w:val="24"/>
                <w:lang w:val="en-US" w:eastAsia="zh-CN" w:bidi="ar-SA"/>
              </w:rPr>
            </w:pPr>
          </w:p>
        </w:tc>
        <w:tc>
          <w:tcPr>
            <w:tcW w:w="959" w:type="dxa"/>
            <w:vMerge w:val="continue"/>
            <w:tcBorders>
              <w:left w:val="single" w:color="000000" w:sz="4" w:space="0"/>
              <w:right w:val="single" w:color="000000" w:sz="4" w:space="0"/>
            </w:tcBorders>
            <w:shd w:val="clear" w:color="auto" w:fill="auto"/>
            <w:noWrap w:val="0"/>
            <w:vAlign w:val="center"/>
          </w:tcPr>
          <w:p w14:paraId="2CB1F4F6">
            <w:pPr>
              <w:pStyle w:val="23"/>
              <w:keepNext w:val="0"/>
              <w:keepLines w:val="0"/>
              <w:pageBreakBefore w:val="0"/>
              <w:widowControl w:val="0"/>
              <w:kinsoku/>
              <w:wordWrap/>
              <w:overflowPunct/>
              <w:topLinePunct w:val="0"/>
              <w:autoSpaceDE/>
              <w:autoSpaceDN/>
              <w:bidi w:val="0"/>
              <w:adjustRightInd/>
              <w:snapToGrid/>
              <w:spacing w:line="400" w:lineRule="exact"/>
              <w:ind w:left="210" w:leftChars="0" w:right="104" w:rightChars="0" w:hanging="105" w:firstLineChars="0"/>
              <w:jc w:val="center"/>
              <w:textAlignment w:val="auto"/>
              <w:rPr>
                <w:rFonts w:hint="eastAsia" w:ascii="仿宋_GB2312" w:hAnsi="仿宋_GB2312" w:eastAsia="仿宋_GB2312" w:cs="仿宋_GB2312"/>
                <w:color w:val="000000"/>
                <w:kern w:val="2"/>
                <w:sz w:val="24"/>
                <w:szCs w:val="24"/>
                <w:lang w:val="en-US" w:eastAsia="zh-CN" w:bidi="ar-SA"/>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4824BDB9">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付款方式</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6DC408E7">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应符合</w:t>
            </w:r>
            <w:r>
              <w:rPr>
                <w:rFonts w:hint="eastAsia" w:ascii="仿宋_GB2312" w:hAnsi="仿宋_GB2312" w:eastAsia="仿宋_GB2312" w:cs="仿宋_GB2312"/>
                <w:color w:val="000000"/>
                <w:sz w:val="24"/>
                <w:szCs w:val="24"/>
                <w:lang w:val="en-US" w:eastAsia="zh-CN"/>
              </w:rPr>
              <w:t>招标</w:t>
            </w:r>
            <w:r>
              <w:rPr>
                <w:rFonts w:hint="eastAsia" w:ascii="仿宋_GB2312" w:hAnsi="仿宋_GB2312" w:eastAsia="仿宋_GB2312" w:cs="仿宋_GB2312"/>
                <w:color w:val="000000"/>
                <w:sz w:val="24"/>
                <w:szCs w:val="24"/>
              </w:rPr>
              <w:t>文件的要求</w:t>
            </w:r>
            <w:r>
              <w:rPr>
                <w:rFonts w:hint="eastAsia" w:ascii="仿宋_GB2312" w:hAnsi="仿宋_GB2312" w:eastAsia="仿宋_GB2312" w:cs="仿宋_GB2312"/>
                <w:color w:val="000000"/>
                <w:sz w:val="24"/>
                <w:szCs w:val="24"/>
                <w:lang w:eastAsia="zh-CN"/>
              </w:rPr>
              <w:t>。</w:t>
            </w:r>
          </w:p>
        </w:tc>
      </w:tr>
      <w:tr w14:paraId="2401A848">
        <w:tblPrEx>
          <w:tblCellMar>
            <w:top w:w="0" w:type="dxa"/>
            <w:left w:w="0" w:type="dxa"/>
            <w:bottom w:w="0" w:type="dxa"/>
            <w:right w:w="0" w:type="dxa"/>
          </w:tblCellMar>
        </w:tblPrEx>
        <w:trPr>
          <w:trHeight w:val="1039" w:hRule="exact"/>
        </w:trPr>
        <w:tc>
          <w:tcPr>
            <w:tcW w:w="811" w:type="dxa"/>
            <w:vMerge w:val="continue"/>
            <w:tcBorders>
              <w:left w:val="single" w:color="000000" w:sz="4" w:space="0"/>
              <w:right w:val="single" w:color="000000" w:sz="4" w:space="0"/>
            </w:tcBorders>
            <w:noWrap w:val="0"/>
            <w:vAlign w:val="center"/>
          </w:tcPr>
          <w:p w14:paraId="67E8A0A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right w:val="single" w:color="000000" w:sz="4" w:space="0"/>
            </w:tcBorders>
            <w:noWrap w:val="0"/>
            <w:vAlign w:val="center"/>
          </w:tcPr>
          <w:p w14:paraId="12212E2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090387FD">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服务质量</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3D9A4A82">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应符合</w:t>
            </w:r>
            <w:r>
              <w:rPr>
                <w:rFonts w:hint="eastAsia" w:ascii="仿宋_GB2312" w:hAnsi="仿宋_GB2312" w:eastAsia="仿宋_GB2312" w:cs="仿宋_GB2312"/>
                <w:color w:val="000000"/>
                <w:sz w:val="24"/>
                <w:szCs w:val="24"/>
                <w:lang w:val="en-US" w:eastAsia="zh-CN"/>
              </w:rPr>
              <w:t>招标</w:t>
            </w:r>
            <w:r>
              <w:rPr>
                <w:rFonts w:hint="eastAsia" w:ascii="仿宋_GB2312" w:hAnsi="仿宋_GB2312" w:eastAsia="仿宋_GB2312" w:cs="仿宋_GB2312"/>
                <w:color w:val="000000"/>
                <w:sz w:val="24"/>
                <w:szCs w:val="24"/>
              </w:rPr>
              <w:t>文件的要求</w:t>
            </w:r>
            <w:r>
              <w:rPr>
                <w:rFonts w:hint="eastAsia" w:ascii="仿宋_GB2312" w:hAnsi="仿宋_GB2312" w:eastAsia="仿宋_GB2312" w:cs="仿宋_GB2312"/>
                <w:color w:val="000000"/>
                <w:sz w:val="24"/>
                <w:szCs w:val="24"/>
                <w:lang w:eastAsia="zh-CN"/>
              </w:rPr>
              <w:t>。</w:t>
            </w:r>
          </w:p>
        </w:tc>
      </w:tr>
      <w:tr w14:paraId="56B5BF0C">
        <w:tblPrEx>
          <w:tblCellMar>
            <w:top w:w="0" w:type="dxa"/>
            <w:left w:w="0" w:type="dxa"/>
            <w:bottom w:w="0" w:type="dxa"/>
            <w:right w:w="0" w:type="dxa"/>
          </w:tblCellMar>
        </w:tblPrEx>
        <w:trPr>
          <w:trHeight w:val="896" w:hRule="exact"/>
        </w:trPr>
        <w:tc>
          <w:tcPr>
            <w:tcW w:w="811" w:type="dxa"/>
            <w:vMerge w:val="continue"/>
            <w:tcBorders>
              <w:left w:val="single" w:color="000000" w:sz="4" w:space="0"/>
              <w:right w:val="single" w:color="000000" w:sz="4" w:space="0"/>
            </w:tcBorders>
            <w:noWrap w:val="0"/>
            <w:vAlign w:val="center"/>
          </w:tcPr>
          <w:p w14:paraId="7C44E7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right w:val="single" w:color="000000" w:sz="4" w:space="0"/>
            </w:tcBorders>
            <w:noWrap w:val="0"/>
            <w:vAlign w:val="center"/>
          </w:tcPr>
          <w:p w14:paraId="6F3DBC2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3735330C">
            <w:pPr>
              <w:pStyle w:val="23"/>
              <w:keepNext w:val="0"/>
              <w:keepLines w:val="0"/>
              <w:pageBreakBefore w:val="0"/>
              <w:widowControl w:val="0"/>
              <w:kinsoku/>
              <w:wordWrap/>
              <w:overflowPunct/>
              <w:topLinePunct w:val="0"/>
              <w:autoSpaceDE/>
              <w:autoSpaceDN/>
              <w:bidi w:val="0"/>
              <w:adjustRightInd/>
              <w:snapToGrid/>
              <w:spacing w:line="400" w:lineRule="exact"/>
              <w:ind w:right="0" w:right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免费质保期</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7B6C1626">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应符合</w:t>
            </w:r>
            <w:r>
              <w:rPr>
                <w:rFonts w:hint="eastAsia" w:ascii="仿宋_GB2312" w:hAnsi="仿宋_GB2312" w:eastAsia="仿宋_GB2312" w:cs="仿宋_GB2312"/>
                <w:color w:val="000000"/>
                <w:sz w:val="24"/>
                <w:szCs w:val="24"/>
                <w:lang w:val="en-US" w:eastAsia="zh-CN"/>
              </w:rPr>
              <w:t>招标</w:t>
            </w:r>
            <w:r>
              <w:rPr>
                <w:rFonts w:hint="eastAsia" w:ascii="仿宋_GB2312" w:hAnsi="仿宋_GB2312" w:eastAsia="仿宋_GB2312" w:cs="仿宋_GB2312"/>
                <w:color w:val="000000"/>
                <w:sz w:val="24"/>
                <w:szCs w:val="24"/>
              </w:rPr>
              <w:t>文件的要求</w:t>
            </w:r>
            <w:r>
              <w:rPr>
                <w:rFonts w:hint="eastAsia" w:ascii="仿宋_GB2312" w:hAnsi="仿宋_GB2312" w:eastAsia="仿宋_GB2312" w:cs="仿宋_GB2312"/>
                <w:color w:val="000000"/>
                <w:sz w:val="24"/>
                <w:szCs w:val="24"/>
                <w:lang w:eastAsia="zh-CN"/>
              </w:rPr>
              <w:t>。</w:t>
            </w:r>
          </w:p>
        </w:tc>
      </w:tr>
      <w:tr w14:paraId="142C9E89">
        <w:tblPrEx>
          <w:tblCellMar>
            <w:top w:w="0" w:type="dxa"/>
            <w:left w:w="0" w:type="dxa"/>
            <w:bottom w:w="0" w:type="dxa"/>
            <w:right w:w="0" w:type="dxa"/>
          </w:tblCellMar>
        </w:tblPrEx>
        <w:trPr>
          <w:trHeight w:val="805" w:hRule="exact"/>
        </w:trPr>
        <w:tc>
          <w:tcPr>
            <w:tcW w:w="811" w:type="dxa"/>
            <w:vMerge w:val="continue"/>
            <w:tcBorders>
              <w:left w:val="single" w:color="000000" w:sz="4" w:space="0"/>
              <w:right w:val="single" w:color="000000" w:sz="4" w:space="0"/>
            </w:tcBorders>
            <w:noWrap w:val="0"/>
            <w:vAlign w:val="center"/>
          </w:tcPr>
          <w:p w14:paraId="330F60C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right w:val="single" w:color="000000" w:sz="4" w:space="0"/>
            </w:tcBorders>
            <w:noWrap w:val="0"/>
            <w:vAlign w:val="center"/>
          </w:tcPr>
          <w:p w14:paraId="3571F8A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4AFD52D6">
            <w:pPr>
              <w:pStyle w:val="23"/>
              <w:keepNext w:val="0"/>
              <w:keepLines w:val="0"/>
              <w:pageBreakBefore w:val="0"/>
              <w:widowControl w:val="0"/>
              <w:kinsoku/>
              <w:wordWrap/>
              <w:overflowPunct/>
              <w:topLinePunct w:val="0"/>
              <w:autoSpaceDE/>
              <w:autoSpaceDN/>
              <w:bidi w:val="0"/>
              <w:adjustRightInd/>
              <w:snapToGrid/>
              <w:spacing w:line="400" w:lineRule="exact"/>
              <w:ind w:right="0" w:right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合同形式</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078551E3">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应符合</w:t>
            </w:r>
            <w:r>
              <w:rPr>
                <w:rFonts w:hint="eastAsia" w:ascii="仿宋_GB2312" w:hAnsi="仿宋_GB2312" w:eastAsia="仿宋_GB2312" w:cs="仿宋_GB2312"/>
                <w:color w:val="000000"/>
                <w:sz w:val="24"/>
                <w:szCs w:val="24"/>
                <w:lang w:val="en-US" w:eastAsia="zh-CN"/>
              </w:rPr>
              <w:t>招标</w:t>
            </w:r>
            <w:r>
              <w:rPr>
                <w:rFonts w:hint="eastAsia" w:ascii="仿宋_GB2312" w:hAnsi="仿宋_GB2312" w:eastAsia="仿宋_GB2312" w:cs="仿宋_GB2312"/>
                <w:color w:val="000000"/>
                <w:sz w:val="24"/>
                <w:szCs w:val="24"/>
              </w:rPr>
              <w:t>文件的要求</w:t>
            </w:r>
            <w:r>
              <w:rPr>
                <w:rFonts w:hint="eastAsia" w:ascii="仿宋_GB2312" w:hAnsi="仿宋_GB2312" w:eastAsia="仿宋_GB2312" w:cs="仿宋_GB2312"/>
                <w:color w:val="000000"/>
                <w:sz w:val="24"/>
                <w:szCs w:val="24"/>
                <w:lang w:eastAsia="zh-CN"/>
              </w:rPr>
              <w:t>。</w:t>
            </w:r>
          </w:p>
        </w:tc>
      </w:tr>
      <w:tr w14:paraId="7F0A5422">
        <w:tblPrEx>
          <w:tblCellMar>
            <w:top w:w="0" w:type="dxa"/>
            <w:left w:w="0" w:type="dxa"/>
            <w:bottom w:w="0" w:type="dxa"/>
            <w:right w:w="0" w:type="dxa"/>
          </w:tblCellMar>
        </w:tblPrEx>
        <w:trPr>
          <w:trHeight w:val="850" w:hRule="exact"/>
        </w:trPr>
        <w:tc>
          <w:tcPr>
            <w:tcW w:w="811" w:type="dxa"/>
            <w:vMerge w:val="continue"/>
            <w:tcBorders>
              <w:left w:val="single" w:color="000000" w:sz="4" w:space="0"/>
              <w:right w:val="single" w:color="000000" w:sz="4" w:space="0"/>
            </w:tcBorders>
            <w:noWrap w:val="0"/>
            <w:vAlign w:val="center"/>
          </w:tcPr>
          <w:p w14:paraId="2129E18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right w:val="single" w:color="000000" w:sz="4" w:space="0"/>
            </w:tcBorders>
            <w:noWrap w:val="0"/>
            <w:vAlign w:val="center"/>
          </w:tcPr>
          <w:p w14:paraId="1A470F8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42A50887">
            <w:pPr>
              <w:pStyle w:val="23"/>
              <w:keepNext w:val="0"/>
              <w:keepLines w:val="0"/>
              <w:pageBreakBefore w:val="0"/>
              <w:widowControl w:val="0"/>
              <w:kinsoku/>
              <w:wordWrap/>
              <w:overflowPunct/>
              <w:topLinePunct w:val="0"/>
              <w:autoSpaceDE/>
              <w:autoSpaceDN/>
              <w:bidi w:val="0"/>
              <w:adjustRightInd/>
              <w:snapToGrid/>
              <w:spacing w:line="400" w:lineRule="exact"/>
              <w:ind w:left="108" w:leftChars="0" w:right="0" w:right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b w:val="0"/>
                <w:bCs w:val="0"/>
                <w:color w:val="000000"/>
                <w:sz w:val="24"/>
                <w:szCs w:val="24"/>
              </w:rPr>
              <w:t>响应文件异常监测</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1041B648">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b w:val="0"/>
                <w:bCs w:val="0"/>
                <w:color w:val="000000"/>
                <w:sz w:val="24"/>
                <w:szCs w:val="24"/>
              </w:rPr>
              <w:t>不同供应商的文件制作机器识别码</w:t>
            </w:r>
            <w:r>
              <w:rPr>
                <w:rFonts w:hint="eastAsia" w:ascii="仿宋_GB2312" w:hAnsi="仿宋_GB2312" w:eastAsia="仿宋_GB2312" w:cs="仿宋_GB2312"/>
                <w:b w:val="0"/>
                <w:bCs w:val="0"/>
                <w:color w:val="000000"/>
                <w:spacing w:val="1"/>
                <w:sz w:val="24"/>
                <w:szCs w:val="24"/>
              </w:rPr>
              <w:t>、</w:t>
            </w:r>
            <w:r>
              <w:rPr>
                <w:rFonts w:hint="eastAsia" w:ascii="仿宋_GB2312" w:hAnsi="仿宋_GB2312" w:eastAsia="仿宋_GB2312" w:cs="仿宋_GB2312"/>
                <w:b w:val="0"/>
                <w:bCs w:val="0"/>
                <w:color w:val="000000"/>
                <w:w w:val="60"/>
                <w:sz w:val="24"/>
                <w:szCs w:val="24"/>
              </w:rPr>
              <w:t>M</w:t>
            </w:r>
            <w:r>
              <w:rPr>
                <w:rFonts w:hint="eastAsia" w:ascii="仿宋_GB2312" w:hAnsi="仿宋_GB2312" w:eastAsia="仿宋_GB2312" w:cs="仿宋_GB2312"/>
                <w:b w:val="0"/>
                <w:bCs w:val="0"/>
                <w:color w:val="000000"/>
                <w:w w:val="69"/>
                <w:sz w:val="24"/>
                <w:szCs w:val="24"/>
              </w:rPr>
              <w:t>AC</w:t>
            </w:r>
            <w:r>
              <w:rPr>
                <w:rFonts w:hint="eastAsia" w:ascii="仿宋_GB2312" w:hAnsi="仿宋_GB2312" w:eastAsia="仿宋_GB2312" w:cs="仿宋_GB2312"/>
                <w:b w:val="0"/>
                <w:bCs w:val="0"/>
                <w:color w:val="000000"/>
                <w:sz w:val="24"/>
                <w:szCs w:val="24"/>
              </w:rPr>
              <w:t>地址、</w:t>
            </w:r>
            <w:r>
              <w:rPr>
                <w:rFonts w:hint="eastAsia" w:ascii="仿宋_GB2312" w:hAnsi="仿宋_GB2312" w:eastAsia="仿宋_GB2312" w:cs="仿宋_GB2312"/>
                <w:b w:val="0"/>
                <w:bCs w:val="0"/>
                <w:color w:val="000000"/>
                <w:w w:val="179"/>
                <w:sz w:val="24"/>
                <w:szCs w:val="24"/>
              </w:rPr>
              <w:t>I</w:t>
            </w:r>
            <w:r>
              <w:rPr>
                <w:rFonts w:hint="eastAsia" w:ascii="仿宋_GB2312" w:hAnsi="仿宋_GB2312" w:eastAsia="仿宋_GB2312" w:cs="仿宋_GB2312"/>
                <w:b w:val="0"/>
                <w:bCs w:val="0"/>
                <w:color w:val="000000"/>
                <w:w w:val="74"/>
                <w:sz w:val="24"/>
                <w:szCs w:val="24"/>
              </w:rPr>
              <w:t>P</w:t>
            </w:r>
            <w:r>
              <w:rPr>
                <w:rFonts w:hint="eastAsia" w:ascii="仿宋_GB2312" w:hAnsi="仿宋_GB2312" w:eastAsia="仿宋_GB2312" w:cs="仿宋_GB2312"/>
                <w:b w:val="0"/>
                <w:bCs w:val="0"/>
                <w:color w:val="000000"/>
                <w:sz w:val="24"/>
                <w:szCs w:val="24"/>
              </w:rPr>
              <w:t>地址不得相同</w:t>
            </w:r>
            <w:r>
              <w:rPr>
                <w:rFonts w:hint="eastAsia" w:ascii="仿宋_GB2312" w:hAnsi="仿宋_GB2312" w:eastAsia="仿宋_GB2312" w:cs="仿宋_GB2312"/>
                <w:b w:val="0"/>
                <w:bCs w:val="0"/>
                <w:color w:val="000000"/>
                <w:sz w:val="24"/>
                <w:szCs w:val="24"/>
                <w:lang w:eastAsia="zh-CN"/>
              </w:rPr>
              <w:t>。</w:t>
            </w:r>
          </w:p>
        </w:tc>
      </w:tr>
      <w:tr w14:paraId="3315306C">
        <w:tblPrEx>
          <w:tblCellMar>
            <w:top w:w="0" w:type="dxa"/>
            <w:left w:w="0" w:type="dxa"/>
            <w:bottom w:w="0" w:type="dxa"/>
            <w:right w:w="0" w:type="dxa"/>
          </w:tblCellMar>
        </w:tblPrEx>
        <w:trPr>
          <w:trHeight w:val="755" w:hRule="exact"/>
        </w:trPr>
        <w:tc>
          <w:tcPr>
            <w:tcW w:w="811" w:type="dxa"/>
            <w:vMerge w:val="continue"/>
            <w:tcBorders>
              <w:left w:val="single" w:color="000000" w:sz="4" w:space="0"/>
              <w:bottom w:val="single" w:color="000000" w:sz="4" w:space="0"/>
              <w:right w:val="single" w:color="000000" w:sz="4" w:space="0"/>
            </w:tcBorders>
            <w:noWrap w:val="0"/>
            <w:vAlign w:val="center"/>
          </w:tcPr>
          <w:p w14:paraId="4A90508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bottom w:val="single" w:color="000000" w:sz="4" w:space="0"/>
              <w:right w:val="single" w:color="000000" w:sz="4" w:space="0"/>
            </w:tcBorders>
            <w:noWrap w:val="0"/>
            <w:vAlign w:val="center"/>
          </w:tcPr>
          <w:p w14:paraId="4159F8F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770688B5">
            <w:pPr>
              <w:pStyle w:val="23"/>
              <w:keepNext w:val="0"/>
              <w:keepLines w:val="0"/>
              <w:pageBreakBefore w:val="0"/>
              <w:widowControl w:val="0"/>
              <w:kinsoku/>
              <w:wordWrap/>
              <w:overflowPunct/>
              <w:topLinePunct w:val="0"/>
              <w:autoSpaceDE/>
              <w:autoSpaceDN/>
              <w:bidi w:val="0"/>
              <w:adjustRightInd/>
              <w:snapToGrid/>
              <w:spacing w:line="400" w:lineRule="exact"/>
              <w:ind w:right="0" w:right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其他要求</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17C22E78">
            <w:pPr>
              <w:pStyle w:val="23"/>
              <w:keepNext w:val="0"/>
              <w:keepLines w:val="0"/>
              <w:pageBreakBefore w:val="0"/>
              <w:widowControl w:val="0"/>
              <w:kinsoku/>
              <w:wordWrap/>
              <w:overflowPunct/>
              <w:topLinePunct w:val="0"/>
              <w:autoSpaceDE/>
              <w:autoSpaceDN/>
              <w:bidi w:val="0"/>
              <w:adjustRightInd/>
              <w:snapToGrid/>
              <w:spacing w:line="400" w:lineRule="exact"/>
              <w:ind w:left="103" w:leftChars="0" w:right="0" w:rightChars="0"/>
              <w:jc w:val="left"/>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val="en-US" w:eastAsia="zh-CN"/>
              </w:rPr>
              <w:t>招标</w:t>
            </w:r>
            <w:r>
              <w:rPr>
                <w:rFonts w:hint="eastAsia" w:ascii="仿宋_GB2312" w:hAnsi="仿宋_GB2312" w:eastAsia="仿宋_GB2312" w:cs="仿宋_GB2312"/>
                <w:color w:val="000000"/>
                <w:sz w:val="24"/>
                <w:szCs w:val="24"/>
              </w:rPr>
              <w:t>文件其他实质性要求</w:t>
            </w:r>
            <w:r>
              <w:rPr>
                <w:rFonts w:hint="eastAsia" w:ascii="仿宋_GB2312" w:hAnsi="仿宋_GB2312" w:eastAsia="仿宋_GB2312" w:cs="仿宋_GB2312"/>
                <w:color w:val="000000"/>
                <w:sz w:val="24"/>
                <w:szCs w:val="24"/>
                <w:lang w:eastAsia="zh-CN"/>
              </w:rPr>
              <w:t>。</w:t>
            </w:r>
          </w:p>
        </w:tc>
      </w:tr>
    </w:tbl>
    <w:p w14:paraId="16B90E9F">
      <w:pPr>
        <w:pStyle w:val="2"/>
        <w:tabs>
          <w:tab w:val="left" w:pos="1765"/>
        </w:tabs>
        <w:spacing w:line="590" w:lineRule="exact"/>
        <w:ind w:right="0"/>
        <w:jc w:val="both"/>
        <w:rPr>
          <w:rFonts w:hint="eastAsia" w:ascii="仿宋_GB2312" w:hAnsi="仿宋_GB2312" w:eastAsia="仿宋_GB2312" w:cs="仿宋_GB2312"/>
          <w:b/>
          <w:bCs/>
          <w:color w:val="000000"/>
          <w:sz w:val="28"/>
          <w:szCs w:val="28"/>
          <w:lang w:val="en-US" w:eastAsia="zh-CN"/>
        </w:rPr>
      </w:pPr>
    </w:p>
    <w:p w14:paraId="6CF1F405">
      <w:pPr>
        <w:pStyle w:val="2"/>
        <w:tabs>
          <w:tab w:val="left" w:pos="1765"/>
        </w:tabs>
        <w:spacing w:line="590" w:lineRule="exact"/>
        <w:ind w:right="0"/>
        <w:jc w:val="both"/>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lang w:val="en-US" w:eastAsia="zh-CN"/>
        </w:rPr>
        <w:br w:type="page"/>
      </w:r>
      <w:r>
        <w:rPr>
          <w:rFonts w:hint="eastAsia" w:ascii="仿宋_GB2312" w:hAnsi="仿宋_GB2312" w:eastAsia="仿宋_GB2312" w:cs="仿宋_GB2312"/>
          <w:b/>
          <w:bCs/>
          <w:color w:val="000000"/>
          <w:sz w:val="28"/>
          <w:szCs w:val="28"/>
          <w:lang w:val="en-US" w:eastAsia="zh-CN"/>
        </w:rPr>
        <w:t>二、</w:t>
      </w:r>
      <w:r>
        <w:rPr>
          <w:rFonts w:hint="eastAsia" w:ascii="仿宋_GB2312" w:hAnsi="仿宋_GB2312" w:eastAsia="仿宋_GB2312" w:cs="仿宋_GB2312"/>
          <w:b/>
          <w:bCs/>
          <w:color w:val="000000"/>
          <w:sz w:val="28"/>
          <w:szCs w:val="28"/>
        </w:rPr>
        <w:t>评</w:t>
      </w:r>
      <w:r>
        <w:rPr>
          <w:rFonts w:hint="eastAsia" w:ascii="仿宋_GB2312" w:hAnsi="仿宋_GB2312" w:eastAsia="仿宋_GB2312" w:cs="仿宋_GB2312"/>
          <w:b/>
          <w:bCs/>
          <w:color w:val="000000"/>
          <w:sz w:val="28"/>
          <w:szCs w:val="28"/>
          <w:lang w:val="en-US" w:eastAsia="zh-CN"/>
        </w:rPr>
        <w:t>分</w:t>
      </w:r>
      <w:r>
        <w:rPr>
          <w:rFonts w:hint="eastAsia" w:ascii="仿宋_GB2312" w:hAnsi="仿宋_GB2312" w:eastAsia="仿宋_GB2312" w:cs="仿宋_GB2312"/>
          <w:b/>
          <w:bCs/>
          <w:color w:val="000000"/>
          <w:sz w:val="28"/>
          <w:szCs w:val="28"/>
        </w:rPr>
        <w:t>表</w:t>
      </w:r>
    </w:p>
    <w:tbl>
      <w:tblPr>
        <w:tblStyle w:val="13"/>
        <w:tblW w:w="96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6"/>
        <w:gridCol w:w="1956"/>
        <w:gridCol w:w="5710"/>
        <w:gridCol w:w="1122"/>
      </w:tblGrid>
      <w:tr w14:paraId="10497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886" w:type="dxa"/>
            <w:tcBorders>
              <w:tl2br w:val="nil"/>
              <w:tr2bl w:val="nil"/>
            </w:tcBorders>
            <w:noWrap w:val="0"/>
            <w:vAlign w:val="center"/>
          </w:tcPr>
          <w:p w14:paraId="7BF5B176">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b w:val="0"/>
                <w:bCs w:val="0"/>
                <w:color w:val="000000" w:themeColor="text1"/>
                <w:sz w:val="22"/>
                <w:szCs w:val="22"/>
                <w:lang w:eastAsia="zh-CN"/>
                <w14:textFill>
                  <w14:solidFill>
                    <w14:schemeClr w14:val="tx1"/>
                  </w14:solidFill>
                </w14:textFill>
              </w:rPr>
            </w:pPr>
            <w:r>
              <w:rPr>
                <w:rFonts w:hint="eastAsia" w:ascii="仿宋_GB2312" w:hAnsi="仿宋_GB2312" w:eastAsia="仿宋_GB2312" w:cs="仿宋_GB2312"/>
                <w:b w:val="0"/>
                <w:bCs w:val="0"/>
                <w:color w:val="000000" w:themeColor="text1"/>
                <w:sz w:val="22"/>
                <w:szCs w:val="22"/>
                <w:lang w:val="en-US" w:eastAsia="zh-CN"/>
                <w14:textFill>
                  <w14:solidFill>
                    <w14:schemeClr w14:val="tx1"/>
                  </w14:solidFill>
                </w14:textFill>
              </w:rPr>
              <w:t>序号</w:t>
            </w:r>
          </w:p>
        </w:tc>
        <w:tc>
          <w:tcPr>
            <w:tcW w:w="1956" w:type="dxa"/>
            <w:tcBorders>
              <w:tl2br w:val="nil"/>
              <w:tr2bl w:val="nil"/>
            </w:tcBorders>
            <w:noWrap w:val="0"/>
            <w:vAlign w:val="center"/>
          </w:tcPr>
          <w:p w14:paraId="3FC495AC">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b w:val="0"/>
                <w:bCs w:val="0"/>
                <w:color w:val="000000" w:themeColor="text1"/>
                <w:sz w:val="22"/>
                <w:szCs w:val="22"/>
                <w14:textFill>
                  <w14:solidFill>
                    <w14:schemeClr w14:val="tx1"/>
                  </w14:solidFill>
                </w14:textFill>
              </w:rPr>
            </w:pPr>
            <w:r>
              <w:rPr>
                <w:rFonts w:hint="eastAsia" w:ascii="仿宋_GB2312" w:hAnsi="仿宋_GB2312" w:eastAsia="仿宋_GB2312" w:cs="仿宋_GB2312"/>
                <w:b w:val="0"/>
                <w:bCs w:val="0"/>
                <w:color w:val="000000" w:themeColor="text1"/>
                <w:sz w:val="22"/>
                <w:szCs w:val="22"/>
                <w14:textFill>
                  <w14:solidFill>
                    <w14:schemeClr w14:val="tx1"/>
                  </w14:solidFill>
                </w14:textFill>
              </w:rPr>
              <w:t>内容</w:t>
            </w:r>
          </w:p>
        </w:tc>
        <w:tc>
          <w:tcPr>
            <w:tcW w:w="5710" w:type="dxa"/>
            <w:tcBorders>
              <w:tl2br w:val="nil"/>
              <w:tr2bl w:val="nil"/>
            </w:tcBorders>
            <w:noWrap w:val="0"/>
            <w:vAlign w:val="center"/>
          </w:tcPr>
          <w:p w14:paraId="1E0117A2">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b w:val="0"/>
                <w:bCs w:val="0"/>
                <w:color w:val="000000" w:themeColor="text1"/>
                <w:sz w:val="22"/>
                <w:szCs w:val="22"/>
                <w14:textFill>
                  <w14:solidFill>
                    <w14:schemeClr w14:val="tx1"/>
                  </w14:solidFill>
                </w14:textFill>
              </w:rPr>
            </w:pPr>
            <w:r>
              <w:rPr>
                <w:rFonts w:hint="eastAsia" w:ascii="仿宋_GB2312" w:hAnsi="仿宋_GB2312" w:eastAsia="仿宋_GB2312" w:cs="仿宋_GB2312"/>
                <w:b w:val="0"/>
                <w:bCs w:val="0"/>
                <w:color w:val="000000" w:themeColor="text1"/>
                <w:sz w:val="22"/>
                <w:szCs w:val="22"/>
                <w14:textFill>
                  <w14:solidFill>
                    <w14:schemeClr w14:val="tx1"/>
                  </w14:solidFill>
                </w14:textFill>
              </w:rPr>
              <w:t>编列内容</w:t>
            </w:r>
          </w:p>
        </w:tc>
        <w:tc>
          <w:tcPr>
            <w:tcW w:w="1122" w:type="dxa"/>
            <w:tcBorders>
              <w:tl2br w:val="nil"/>
              <w:tr2bl w:val="nil"/>
            </w:tcBorders>
            <w:noWrap w:val="0"/>
            <w:vAlign w:val="center"/>
          </w:tcPr>
          <w:p w14:paraId="7FE30708">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b w:val="0"/>
                <w:bCs w:val="0"/>
                <w:color w:val="000000" w:themeColor="text1"/>
                <w:sz w:val="22"/>
                <w:szCs w:val="22"/>
                <w14:textFill>
                  <w14:solidFill>
                    <w14:schemeClr w14:val="tx1"/>
                  </w14:solidFill>
                </w14:textFill>
              </w:rPr>
            </w:pPr>
            <w:r>
              <w:rPr>
                <w:rFonts w:hint="eastAsia" w:ascii="仿宋_GB2312" w:hAnsi="仿宋_GB2312" w:eastAsia="仿宋_GB2312" w:cs="仿宋_GB2312"/>
                <w:b w:val="0"/>
                <w:bCs w:val="0"/>
                <w:color w:val="000000" w:themeColor="text1"/>
                <w:sz w:val="22"/>
                <w:szCs w:val="22"/>
                <w14:textFill>
                  <w14:solidFill>
                    <w14:schemeClr w14:val="tx1"/>
                  </w14:solidFill>
                </w14:textFill>
              </w:rPr>
              <w:t>备注</w:t>
            </w:r>
          </w:p>
        </w:tc>
      </w:tr>
      <w:tr w14:paraId="11981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886" w:type="dxa"/>
            <w:tcBorders>
              <w:tl2br w:val="nil"/>
              <w:tr2bl w:val="nil"/>
            </w:tcBorders>
            <w:noWrap w:val="0"/>
            <w:vAlign w:val="center"/>
          </w:tcPr>
          <w:p w14:paraId="3A8FFC0D">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2.1</w:t>
            </w:r>
          </w:p>
        </w:tc>
        <w:tc>
          <w:tcPr>
            <w:tcW w:w="1956" w:type="dxa"/>
            <w:tcBorders>
              <w:tl2br w:val="nil"/>
              <w:tr2bl w:val="nil"/>
            </w:tcBorders>
            <w:noWrap w:val="0"/>
            <w:vAlign w:val="center"/>
          </w:tcPr>
          <w:p w14:paraId="61245521">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分值构成</w:t>
            </w:r>
          </w:p>
          <w:p w14:paraId="6159BC1E">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(总分100分)</w:t>
            </w:r>
          </w:p>
        </w:tc>
        <w:tc>
          <w:tcPr>
            <w:tcW w:w="5710" w:type="dxa"/>
            <w:tcBorders>
              <w:tl2br w:val="nil"/>
              <w:tr2bl w:val="nil"/>
            </w:tcBorders>
            <w:noWrap w:val="0"/>
            <w:vAlign w:val="center"/>
          </w:tcPr>
          <w:p w14:paraId="38B25E5D">
            <w:pPr>
              <w:pStyle w:val="23"/>
              <w:keepNext w:val="0"/>
              <w:keepLines w:val="0"/>
              <w:pageBreakBefore w:val="0"/>
              <w:widowControl w:val="0"/>
              <w:kinsoku/>
              <w:wordWrap/>
              <w:overflowPunct/>
              <w:topLinePunct w:val="0"/>
              <w:autoSpaceDE/>
              <w:autoSpaceDN/>
              <w:bidi w:val="0"/>
              <w:adjustRightInd/>
              <w:snapToGrid/>
              <w:spacing w:line="320" w:lineRule="exact"/>
              <w:ind w:left="0" w:right="0" w:rightChars="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商务</w:t>
            </w:r>
            <w:r>
              <w:rPr>
                <w:rFonts w:hint="eastAsia" w:ascii="仿宋_GB2312" w:hAnsi="仿宋_GB2312" w:eastAsia="仿宋_GB2312" w:cs="仿宋_GB2312"/>
                <w:color w:val="000000" w:themeColor="text1"/>
                <w:sz w:val="22"/>
                <w:szCs w:val="22"/>
                <w:lang w:eastAsia="zh-CN"/>
                <w14:textFill>
                  <w14:solidFill>
                    <w14:schemeClr w14:val="tx1"/>
                  </w14:solidFill>
                </w14:textFill>
              </w:rPr>
              <w:t>、</w:t>
            </w:r>
            <w:r>
              <w:rPr>
                <w:rFonts w:hint="eastAsia" w:ascii="仿宋_GB2312" w:hAnsi="仿宋_GB2312" w:eastAsia="仿宋_GB2312" w:cs="仿宋_GB2312"/>
                <w:color w:val="000000" w:themeColor="text1"/>
                <w:sz w:val="22"/>
                <w:szCs w:val="22"/>
                <w14:textFill>
                  <w14:solidFill>
                    <w14:schemeClr w14:val="tx1"/>
                  </w14:solidFill>
                </w14:textFill>
              </w:rPr>
              <w:t>技术部分：</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85</w:t>
            </w:r>
            <w:r>
              <w:rPr>
                <w:rFonts w:hint="eastAsia" w:ascii="仿宋_GB2312" w:hAnsi="仿宋_GB2312" w:eastAsia="仿宋_GB2312" w:cs="仿宋_GB2312"/>
                <w:color w:val="000000" w:themeColor="text1"/>
                <w:sz w:val="22"/>
                <w:szCs w:val="22"/>
                <w14:textFill>
                  <w14:solidFill>
                    <w14:schemeClr w14:val="tx1"/>
                  </w14:solidFill>
                </w14:textFill>
              </w:rPr>
              <w:t>分</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2"/>
                <w:szCs w:val="22"/>
                <w14:textFill>
                  <w14:solidFill>
                    <w14:schemeClr w14:val="tx1"/>
                  </w14:solidFill>
                </w14:textFill>
              </w:rPr>
              <w:t>报价部分：</w:t>
            </w:r>
            <w:r>
              <w:rPr>
                <w:rFonts w:hint="eastAsia" w:ascii="仿宋_GB2312" w:hAnsi="仿宋_GB2312" w:eastAsia="仿宋_GB2312" w:cs="仿宋_GB2312"/>
                <w:color w:val="000000" w:themeColor="text1"/>
                <w:sz w:val="22"/>
                <w:szCs w:val="22"/>
                <w:u w:val="none" w:color="auto"/>
                <w:lang w:val="en-US" w:eastAsia="zh-CN"/>
                <w14:textFill>
                  <w14:solidFill>
                    <w14:schemeClr w14:val="tx1"/>
                  </w14:solidFill>
                </w14:textFill>
              </w:rPr>
              <w:t>15</w:t>
            </w:r>
            <w:r>
              <w:rPr>
                <w:rFonts w:hint="eastAsia" w:ascii="仿宋_GB2312" w:hAnsi="仿宋_GB2312" w:eastAsia="仿宋_GB2312" w:cs="仿宋_GB2312"/>
                <w:color w:val="000000" w:themeColor="text1"/>
                <w:sz w:val="22"/>
                <w:szCs w:val="22"/>
                <w14:textFill>
                  <w14:solidFill>
                    <w14:schemeClr w14:val="tx1"/>
                  </w14:solidFill>
                </w14:textFill>
              </w:rPr>
              <w:t>分</w:t>
            </w:r>
          </w:p>
        </w:tc>
        <w:tc>
          <w:tcPr>
            <w:tcW w:w="1122" w:type="dxa"/>
            <w:tcBorders>
              <w:tl2br w:val="nil"/>
              <w:tr2bl w:val="nil"/>
            </w:tcBorders>
            <w:noWrap w:val="0"/>
            <w:vAlign w:val="center"/>
          </w:tcPr>
          <w:p w14:paraId="0720AD25">
            <w:pPr>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r>
      <w:tr w14:paraId="6C0DF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886" w:type="dxa"/>
            <w:tcBorders>
              <w:tl2br w:val="nil"/>
              <w:tr2bl w:val="nil"/>
            </w:tcBorders>
            <w:noWrap w:val="0"/>
            <w:vAlign w:val="center"/>
          </w:tcPr>
          <w:p w14:paraId="28C6E538">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2.2</w:t>
            </w:r>
          </w:p>
        </w:tc>
        <w:tc>
          <w:tcPr>
            <w:tcW w:w="1956" w:type="dxa"/>
            <w:tcBorders>
              <w:tl2br w:val="nil"/>
              <w:tr2bl w:val="nil"/>
            </w:tcBorders>
            <w:noWrap w:val="0"/>
            <w:vAlign w:val="center"/>
          </w:tcPr>
          <w:p w14:paraId="7BA8FE15">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响应报价得分</w:t>
            </w:r>
          </w:p>
          <w:p w14:paraId="03DC8168">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计算方法</w:t>
            </w:r>
          </w:p>
        </w:tc>
        <w:tc>
          <w:tcPr>
            <w:tcW w:w="5710" w:type="dxa"/>
            <w:tcBorders>
              <w:tl2br w:val="nil"/>
              <w:tr2bl w:val="nil"/>
            </w:tcBorders>
            <w:noWrap w:val="0"/>
            <w:vAlign w:val="center"/>
          </w:tcPr>
          <w:p w14:paraId="75EE2321">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2"/>
                <w:sz w:val="22"/>
                <w:szCs w:val="22"/>
                <w14:textFill>
                  <w14:solidFill>
                    <w14:schemeClr w14:val="tx1"/>
                  </w14:solidFill>
                </w14:textFill>
              </w:rPr>
              <w:t>响应报价不得超过最高限价，否则作无效响应处理；通过初步</w:t>
            </w:r>
            <w:r>
              <w:rPr>
                <w:rFonts w:hint="eastAsia" w:ascii="仿宋_GB2312" w:hAnsi="仿宋_GB2312" w:eastAsia="仿宋_GB2312" w:cs="仿宋_GB2312"/>
                <w:color w:val="000000" w:themeColor="text1"/>
                <w:sz w:val="22"/>
                <w:szCs w:val="22"/>
                <w14:textFill>
                  <w14:solidFill>
                    <w14:schemeClr w14:val="tx1"/>
                  </w14:solidFill>
                </w14:textFill>
              </w:rPr>
              <w:t>评审的响应报价参与报价评审。</w:t>
            </w:r>
            <w:r>
              <w:rPr>
                <w:rFonts w:hint="eastAsia" w:ascii="仿宋_GB2312" w:hAnsi="仿宋_GB2312" w:eastAsia="仿宋_GB2312" w:cs="仿宋_GB2312"/>
                <w:color w:val="000000" w:themeColor="text1"/>
                <w:spacing w:val="2"/>
                <w:sz w:val="22"/>
                <w:szCs w:val="22"/>
                <w14:textFill>
                  <w14:solidFill>
                    <w14:schemeClr w14:val="tx1"/>
                  </w14:solidFill>
                </w14:textFill>
              </w:rPr>
              <w:t>满足</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招标文件</w:t>
            </w:r>
            <w:r>
              <w:rPr>
                <w:rFonts w:hint="eastAsia" w:ascii="仿宋_GB2312" w:hAnsi="仿宋_GB2312" w:eastAsia="仿宋_GB2312" w:cs="仿宋_GB2312"/>
                <w:color w:val="000000" w:themeColor="text1"/>
                <w:spacing w:val="2"/>
                <w:sz w:val="22"/>
                <w:szCs w:val="22"/>
                <w14:textFill>
                  <w14:solidFill>
                    <w14:schemeClr w14:val="tx1"/>
                  </w14:solidFill>
                </w14:textFill>
              </w:rPr>
              <w:t>要求且报价最低的为评审基准价，其价格分为满分，其他响应报价得分统一按照下列公式计算：响应报价得分</w:t>
            </w:r>
            <w:r>
              <w:rPr>
                <w:rFonts w:hint="eastAsia" w:ascii="仿宋_GB2312" w:hAnsi="仿宋_GB2312" w:eastAsia="仿宋_GB2312" w:cs="仿宋_GB2312"/>
                <w:color w:val="000000" w:themeColor="text1"/>
                <w:sz w:val="22"/>
                <w:szCs w:val="22"/>
                <w14:textFill>
                  <w14:solidFill>
                    <w14:schemeClr w14:val="tx1"/>
                  </w14:solidFill>
                </w14:textFill>
              </w:rPr>
              <w:t>=（基准价/响应报价）</w:t>
            </w:r>
            <w:r>
              <w:rPr>
                <w:rFonts w:hint="eastAsia" w:ascii="仿宋_GB2312" w:hAnsi="仿宋_GB2312" w:eastAsia="仿宋_GB2312" w:cs="仿宋_GB2312"/>
                <w:color w:val="000000" w:themeColor="text1"/>
                <w:sz w:val="22"/>
                <w:szCs w:val="22"/>
                <w:u w:val="none" w:color="auto"/>
                <w14:textFill>
                  <w14:solidFill>
                    <w14:schemeClr w14:val="tx1"/>
                  </w14:solidFill>
                </w14:textFill>
              </w:rPr>
              <w:t>×</w:t>
            </w:r>
            <w:r>
              <w:rPr>
                <w:rFonts w:hint="eastAsia" w:ascii="仿宋_GB2312" w:hAnsi="仿宋_GB2312" w:eastAsia="仿宋_GB2312" w:cs="仿宋_GB2312"/>
                <w:color w:val="000000" w:themeColor="text1"/>
                <w:sz w:val="22"/>
                <w:szCs w:val="22"/>
                <w14:textFill>
                  <w14:solidFill>
                    <w14:schemeClr w14:val="tx1"/>
                  </w14:solidFill>
                </w14:textFill>
              </w:rPr>
              <w:t>1</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5</w:t>
            </w:r>
            <w:r>
              <w:rPr>
                <w:rFonts w:hint="eastAsia" w:ascii="仿宋_GB2312" w:hAnsi="仿宋_GB2312" w:eastAsia="仿宋_GB2312" w:cs="仿宋_GB2312"/>
                <w:color w:val="000000" w:themeColor="text1"/>
                <w:sz w:val="22"/>
                <w:szCs w:val="22"/>
                <w14:textFill>
                  <w14:solidFill>
                    <w14:schemeClr w14:val="tx1"/>
                  </w14:solidFill>
                </w14:textFill>
              </w:rPr>
              <w:t>。</w:t>
            </w:r>
          </w:p>
        </w:tc>
        <w:tc>
          <w:tcPr>
            <w:tcW w:w="1122" w:type="dxa"/>
            <w:tcBorders>
              <w:tl2br w:val="nil"/>
              <w:tr2bl w:val="nil"/>
            </w:tcBorders>
            <w:noWrap w:val="0"/>
            <w:vAlign w:val="center"/>
          </w:tcPr>
          <w:p w14:paraId="15B3BC6D">
            <w:pPr>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default" w:ascii="仿宋_GB2312" w:hAnsi="仿宋_GB2312" w:eastAsia="仿宋_GB2312" w:cs="仿宋_GB2312"/>
                <w:color w:val="000000" w:themeColor="text1"/>
                <w:sz w:val="22"/>
                <w:szCs w:val="22"/>
                <w:lang w:val="en-US" w:eastAsia="zh-CN"/>
                <w14:textFill>
                  <w14:solidFill>
                    <w14:schemeClr w14:val="tx1"/>
                  </w14:solidFill>
                </w14:textFill>
              </w:rPr>
            </w:pPr>
          </w:p>
        </w:tc>
      </w:tr>
      <w:tr w14:paraId="6AD79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jc w:val="center"/>
        </w:trPr>
        <w:tc>
          <w:tcPr>
            <w:tcW w:w="886" w:type="dxa"/>
            <w:tcBorders>
              <w:tl2br w:val="nil"/>
              <w:tr2bl w:val="nil"/>
            </w:tcBorders>
            <w:noWrap w:val="0"/>
            <w:vAlign w:val="center"/>
          </w:tcPr>
          <w:p w14:paraId="2D7001E3">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2.3</w:t>
            </w:r>
          </w:p>
        </w:tc>
        <w:tc>
          <w:tcPr>
            <w:tcW w:w="8788" w:type="dxa"/>
            <w:gridSpan w:val="3"/>
            <w:tcBorders>
              <w:tl2br w:val="nil"/>
              <w:tr2bl w:val="nil"/>
            </w:tcBorders>
            <w:noWrap w:val="0"/>
            <w:vAlign w:val="center"/>
          </w:tcPr>
          <w:p w14:paraId="690CA7F6">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评分标准</w:t>
            </w:r>
          </w:p>
        </w:tc>
      </w:tr>
      <w:tr w14:paraId="3AD95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886" w:type="dxa"/>
            <w:tcBorders>
              <w:tl2br w:val="nil"/>
              <w:tr2bl w:val="nil"/>
            </w:tcBorders>
            <w:noWrap w:val="0"/>
            <w:vAlign w:val="center"/>
          </w:tcPr>
          <w:p w14:paraId="286D942E">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b w:val="0"/>
                <w:bCs w:val="0"/>
                <w:color w:val="000000" w:themeColor="text1"/>
                <w:sz w:val="22"/>
                <w:szCs w:val="22"/>
                <w14:textFill>
                  <w14:solidFill>
                    <w14:schemeClr w14:val="tx1"/>
                  </w14:solidFill>
                </w14:textFill>
              </w:rPr>
            </w:pPr>
            <w:r>
              <w:rPr>
                <w:rFonts w:hint="eastAsia" w:ascii="仿宋_GB2312" w:hAnsi="仿宋_GB2312" w:eastAsia="仿宋_GB2312" w:cs="仿宋_GB2312"/>
                <w:b w:val="0"/>
                <w:bCs w:val="0"/>
                <w:color w:val="000000" w:themeColor="text1"/>
                <w:sz w:val="22"/>
                <w:szCs w:val="22"/>
                <w14:textFill>
                  <w14:solidFill>
                    <w14:schemeClr w14:val="tx1"/>
                  </w14:solidFill>
                </w14:textFill>
              </w:rPr>
              <w:t>类别</w:t>
            </w:r>
          </w:p>
        </w:tc>
        <w:tc>
          <w:tcPr>
            <w:tcW w:w="1956" w:type="dxa"/>
            <w:tcBorders>
              <w:tl2br w:val="nil"/>
              <w:tr2bl w:val="nil"/>
            </w:tcBorders>
            <w:noWrap w:val="0"/>
            <w:vAlign w:val="center"/>
          </w:tcPr>
          <w:p w14:paraId="4F2FB591">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b w:val="0"/>
                <w:bCs w:val="0"/>
                <w:color w:val="000000" w:themeColor="text1"/>
                <w:sz w:val="22"/>
                <w:szCs w:val="22"/>
                <w14:textFill>
                  <w14:solidFill>
                    <w14:schemeClr w14:val="tx1"/>
                  </w14:solidFill>
                </w14:textFill>
              </w:rPr>
            </w:pPr>
            <w:r>
              <w:rPr>
                <w:rFonts w:hint="eastAsia" w:ascii="仿宋_GB2312" w:hAnsi="仿宋_GB2312" w:eastAsia="仿宋_GB2312" w:cs="仿宋_GB2312"/>
                <w:b w:val="0"/>
                <w:bCs w:val="0"/>
                <w:color w:val="000000" w:themeColor="text1"/>
                <w:sz w:val="22"/>
                <w:szCs w:val="22"/>
                <w14:textFill>
                  <w14:solidFill>
                    <w14:schemeClr w14:val="tx1"/>
                  </w14:solidFill>
                </w14:textFill>
              </w:rPr>
              <w:t>内容</w:t>
            </w:r>
          </w:p>
        </w:tc>
        <w:tc>
          <w:tcPr>
            <w:tcW w:w="5710" w:type="dxa"/>
            <w:tcBorders>
              <w:tl2br w:val="nil"/>
              <w:tr2bl w:val="nil"/>
            </w:tcBorders>
            <w:noWrap w:val="0"/>
            <w:vAlign w:val="center"/>
          </w:tcPr>
          <w:p w14:paraId="283686DE">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b w:val="0"/>
                <w:bCs w:val="0"/>
                <w:color w:val="000000" w:themeColor="text1"/>
                <w:sz w:val="22"/>
                <w:szCs w:val="22"/>
                <w14:textFill>
                  <w14:solidFill>
                    <w14:schemeClr w14:val="tx1"/>
                  </w14:solidFill>
                </w14:textFill>
              </w:rPr>
            </w:pPr>
            <w:r>
              <w:rPr>
                <w:rFonts w:hint="eastAsia" w:ascii="仿宋_GB2312" w:hAnsi="仿宋_GB2312" w:eastAsia="仿宋_GB2312" w:cs="仿宋_GB2312"/>
                <w:b w:val="0"/>
                <w:bCs w:val="0"/>
                <w:color w:val="000000" w:themeColor="text1"/>
                <w:sz w:val="22"/>
                <w:szCs w:val="22"/>
                <w14:textFill>
                  <w14:solidFill>
                    <w14:schemeClr w14:val="tx1"/>
                  </w14:solidFill>
                </w14:textFill>
              </w:rPr>
              <w:t>编列内容</w:t>
            </w:r>
          </w:p>
        </w:tc>
        <w:tc>
          <w:tcPr>
            <w:tcW w:w="1122" w:type="dxa"/>
            <w:tcBorders>
              <w:tl2br w:val="nil"/>
              <w:tr2bl w:val="nil"/>
            </w:tcBorders>
            <w:noWrap w:val="0"/>
            <w:vAlign w:val="center"/>
          </w:tcPr>
          <w:p w14:paraId="50DF66F2">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b w:val="0"/>
                <w:bCs w:val="0"/>
                <w:color w:val="000000" w:themeColor="text1"/>
                <w:sz w:val="22"/>
                <w:szCs w:val="22"/>
                <w14:textFill>
                  <w14:solidFill>
                    <w14:schemeClr w14:val="tx1"/>
                  </w14:solidFill>
                </w14:textFill>
              </w:rPr>
            </w:pPr>
            <w:r>
              <w:rPr>
                <w:rFonts w:hint="eastAsia" w:ascii="仿宋_GB2312" w:hAnsi="仿宋_GB2312" w:eastAsia="仿宋_GB2312" w:cs="仿宋_GB2312"/>
                <w:b w:val="0"/>
                <w:bCs w:val="0"/>
                <w:color w:val="000000" w:themeColor="text1"/>
                <w:sz w:val="22"/>
                <w:szCs w:val="22"/>
                <w14:textFill>
                  <w14:solidFill>
                    <w14:schemeClr w14:val="tx1"/>
                  </w14:solidFill>
                </w14:textFill>
              </w:rPr>
              <w:t>分值</w:t>
            </w:r>
          </w:p>
        </w:tc>
      </w:tr>
      <w:tr w14:paraId="67336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5" w:hRule="atLeast"/>
          <w:jc w:val="center"/>
        </w:trPr>
        <w:tc>
          <w:tcPr>
            <w:tcW w:w="886" w:type="dxa"/>
            <w:vMerge w:val="restart"/>
            <w:tcBorders>
              <w:tl2br w:val="nil"/>
              <w:tr2bl w:val="nil"/>
            </w:tcBorders>
            <w:noWrap w:val="0"/>
            <w:vAlign w:val="center"/>
          </w:tcPr>
          <w:p w14:paraId="65F1CDFD">
            <w:pPr>
              <w:pStyle w:val="23"/>
              <w:keepNext w:val="0"/>
              <w:keepLines w:val="0"/>
              <w:pageBreakBefore w:val="0"/>
              <w:widowControl w:val="0"/>
              <w:kinsoku/>
              <w:wordWrap/>
              <w:overflowPunct/>
              <w:topLinePunct w:val="0"/>
              <w:autoSpaceDE/>
              <w:autoSpaceDN/>
              <w:bidi w:val="0"/>
              <w:adjustRightInd/>
              <w:snapToGrid/>
              <w:spacing w:line="320" w:lineRule="exact"/>
              <w:ind w:left="0" w:right="0" w:firstLine="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技</w:t>
            </w:r>
          </w:p>
          <w:p w14:paraId="613E18A7">
            <w:pPr>
              <w:pStyle w:val="23"/>
              <w:keepNext w:val="0"/>
              <w:keepLines w:val="0"/>
              <w:pageBreakBefore w:val="0"/>
              <w:widowControl w:val="0"/>
              <w:kinsoku/>
              <w:wordWrap/>
              <w:overflowPunct/>
              <w:topLinePunct w:val="0"/>
              <w:autoSpaceDE/>
              <w:autoSpaceDN/>
              <w:bidi w:val="0"/>
              <w:adjustRightInd/>
              <w:snapToGrid/>
              <w:spacing w:line="320" w:lineRule="exact"/>
              <w:ind w:left="0" w:right="0" w:firstLine="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术</w:t>
            </w:r>
          </w:p>
          <w:p w14:paraId="4A9C532B">
            <w:pPr>
              <w:pStyle w:val="23"/>
              <w:keepNext w:val="0"/>
              <w:keepLines w:val="0"/>
              <w:pageBreakBefore w:val="0"/>
              <w:widowControl w:val="0"/>
              <w:kinsoku/>
              <w:wordWrap/>
              <w:overflowPunct/>
              <w:topLinePunct w:val="0"/>
              <w:autoSpaceDE/>
              <w:autoSpaceDN/>
              <w:bidi w:val="0"/>
              <w:adjustRightInd/>
              <w:snapToGrid/>
              <w:spacing w:line="320" w:lineRule="exact"/>
              <w:ind w:left="0" w:right="0" w:firstLine="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资</w:t>
            </w:r>
          </w:p>
          <w:p w14:paraId="4A9242C4">
            <w:pPr>
              <w:pStyle w:val="23"/>
              <w:keepNext w:val="0"/>
              <w:keepLines w:val="0"/>
              <w:pageBreakBefore w:val="0"/>
              <w:widowControl w:val="0"/>
              <w:kinsoku/>
              <w:wordWrap/>
              <w:overflowPunct/>
              <w:topLinePunct w:val="0"/>
              <w:autoSpaceDE/>
              <w:autoSpaceDN/>
              <w:bidi w:val="0"/>
              <w:adjustRightInd/>
              <w:snapToGrid/>
              <w:spacing w:line="320" w:lineRule="exact"/>
              <w:ind w:left="0" w:right="0" w:firstLine="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信</w:t>
            </w:r>
          </w:p>
          <w:p w14:paraId="1CB23E66">
            <w:pPr>
              <w:pStyle w:val="23"/>
              <w:keepNext w:val="0"/>
              <w:keepLines w:val="0"/>
              <w:pageBreakBefore w:val="0"/>
              <w:widowControl w:val="0"/>
              <w:kinsoku/>
              <w:wordWrap/>
              <w:overflowPunct/>
              <w:topLinePunct w:val="0"/>
              <w:autoSpaceDE/>
              <w:autoSpaceDN/>
              <w:bidi w:val="0"/>
              <w:adjustRightInd/>
              <w:snapToGrid/>
              <w:spacing w:line="320" w:lineRule="exact"/>
              <w:ind w:left="0" w:right="0" w:firstLine="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分</w:t>
            </w:r>
          </w:p>
        </w:tc>
        <w:tc>
          <w:tcPr>
            <w:tcW w:w="1956" w:type="dxa"/>
            <w:tcBorders>
              <w:tl2br w:val="nil"/>
              <w:tr2bl w:val="nil"/>
            </w:tcBorders>
            <w:noWrap w:val="0"/>
            <w:vAlign w:val="center"/>
          </w:tcPr>
          <w:p w14:paraId="16F73EF8">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供应商业绩</w:t>
            </w:r>
          </w:p>
        </w:tc>
        <w:tc>
          <w:tcPr>
            <w:tcW w:w="5710" w:type="dxa"/>
            <w:tcBorders>
              <w:tl2br w:val="nil"/>
              <w:tr2bl w:val="nil"/>
            </w:tcBorders>
            <w:noWrap w:val="0"/>
            <w:vAlign w:val="center"/>
          </w:tcPr>
          <w:p w14:paraId="07996176">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自2022年1月1</w:t>
            </w:r>
            <w:r>
              <w:rPr>
                <w:rFonts w:hint="eastAsia" w:ascii="仿宋_GB2312" w:hAnsi="仿宋_GB2312" w:eastAsia="仿宋_GB2312" w:cs="仿宋_GB2312"/>
                <w:color w:val="000000" w:themeColor="text1"/>
                <w:spacing w:val="-3"/>
                <w:sz w:val="22"/>
                <w:szCs w:val="22"/>
                <w14:textFill>
                  <w14:solidFill>
                    <w14:schemeClr w14:val="tx1"/>
                  </w14:solidFill>
                </w14:textFill>
              </w:rPr>
              <w:t>日至今（以合同签订日期为准），供应商具有</w:t>
            </w:r>
            <w:r>
              <w:rPr>
                <w:rFonts w:hint="eastAsia" w:ascii="仿宋_GB2312" w:hAnsi="仿宋_GB2312" w:eastAsia="仿宋_GB2312" w:cs="仿宋_GB2312"/>
                <w:color w:val="000000" w:themeColor="text1"/>
                <w:spacing w:val="2"/>
                <w:sz w:val="22"/>
                <w:szCs w:val="22"/>
                <w14:textFill>
                  <w14:solidFill>
                    <w14:schemeClr w14:val="tx1"/>
                  </w14:solidFill>
                </w14:textFill>
              </w:rPr>
              <w:t>党政机关</w:t>
            </w:r>
            <w:r>
              <w:rPr>
                <w:rFonts w:hint="eastAsia" w:ascii="仿宋_GB2312" w:hAnsi="仿宋_GB2312" w:eastAsia="仿宋_GB2312" w:cs="仿宋_GB2312"/>
                <w:color w:val="000000" w:themeColor="text1"/>
                <w:spacing w:val="2"/>
                <w:sz w:val="22"/>
                <w:szCs w:val="22"/>
                <w:lang w:eastAsia="zh-CN"/>
                <w14:textFill>
                  <w14:solidFill>
                    <w14:schemeClr w14:val="tx1"/>
                  </w14:solidFill>
                </w14:textFill>
              </w:rPr>
              <w:t>、</w:t>
            </w:r>
            <w:r>
              <w:rPr>
                <w:rFonts w:hint="eastAsia" w:ascii="仿宋_GB2312" w:hAnsi="仿宋_GB2312" w:eastAsia="仿宋_GB2312" w:cs="仿宋_GB2312"/>
                <w:color w:val="000000" w:themeColor="text1"/>
                <w:spacing w:val="-3"/>
                <w:sz w:val="22"/>
                <w:szCs w:val="22"/>
                <w:lang w:val="en-US" w:eastAsia="zh-CN"/>
                <w14:textFill>
                  <w14:solidFill>
                    <w14:schemeClr w14:val="tx1"/>
                  </w14:solidFill>
                </w14:textFill>
              </w:rPr>
              <w:t>企事业单位</w:t>
            </w:r>
            <w:r>
              <w:rPr>
                <w:rFonts w:hint="eastAsia" w:ascii="仿宋_GB2312" w:hAnsi="仿宋_GB2312" w:eastAsia="仿宋_GB2312" w:cs="仿宋_GB2312"/>
                <w:color w:val="000000" w:themeColor="text1"/>
                <w:spacing w:val="2"/>
                <w:sz w:val="22"/>
                <w:szCs w:val="22"/>
                <w14:textFill>
                  <w14:solidFill>
                    <w14:schemeClr w14:val="tx1"/>
                  </w14:solidFill>
                </w14:textFill>
              </w:rPr>
              <w:t>委托的绿植租赁摆放业绩（正在履约或履约完成的业</w:t>
            </w:r>
            <w:r>
              <w:rPr>
                <w:rFonts w:hint="eastAsia" w:ascii="仿宋_GB2312" w:hAnsi="仿宋_GB2312" w:eastAsia="仿宋_GB2312" w:cs="仿宋_GB2312"/>
                <w:color w:val="000000" w:themeColor="text1"/>
                <w:spacing w:val="-10"/>
                <w:sz w:val="22"/>
                <w:szCs w:val="22"/>
                <w14:textFill>
                  <w14:solidFill>
                    <w14:schemeClr w14:val="tx1"/>
                  </w14:solidFill>
                </w14:textFill>
              </w:rPr>
              <w:t>绩均予以认可），每提供</w:t>
            </w:r>
            <w:r>
              <w:rPr>
                <w:rFonts w:hint="eastAsia" w:ascii="仿宋_GB2312" w:hAnsi="仿宋_GB2312" w:eastAsia="仿宋_GB2312" w:cs="仿宋_GB2312"/>
                <w:color w:val="000000" w:themeColor="text1"/>
                <w:sz w:val="22"/>
                <w:szCs w:val="22"/>
                <w14:textFill>
                  <w14:solidFill>
                    <w14:schemeClr w14:val="tx1"/>
                  </w14:solidFill>
                </w14:textFill>
              </w:rPr>
              <w:t>1个得1分，满分10分。</w:t>
            </w:r>
          </w:p>
          <w:p w14:paraId="7A91EE21">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z w:val="22"/>
                <w:szCs w:val="22"/>
                <w14:textFill>
                  <w14:solidFill>
                    <w14:schemeClr w14:val="tx1"/>
                  </w14:solidFill>
                </w14:textFill>
              </w:rPr>
              <w:t>注：</w:t>
            </w:r>
            <w:r>
              <w:rPr>
                <w:rFonts w:hint="eastAsia" w:ascii="仿宋_GB2312" w:hAnsi="仿宋_GB2312" w:eastAsia="仿宋_GB2312" w:cs="仿宋_GB2312"/>
                <w:b/>
                <w:bCs/>
                <w:color w:val="000000" w:themeColor="text1"/>
                <w:spacing w:val="7"/>
                <w:w w:val="95"/>
                <w:sz w:val="22"/>
                <w:szCs w:val="22"/>
                <w14:textFill>
                  <w14:solidFill>
                    <w14:schemeClr w14:val="tx1"/>
                  </w14:solidFill>
                </w14:textFill>
              </w:rPr>
              <w:t>提供合同扫描件，如合同中无法体现签订时间、服务内</w:t>
            </w:r>
            <w:r>
              <w:rPr>
                <w:rFonts w:hint="eastAsia" w:ascii="仿宋_GB2312" w:hAnsi="仿宋_GB2312" w:eastAsia="仿宋_GB2312" w:cs="仿宋_GB2312"/>
                <w:b/>
                <w:bCs/>
                <w:color w:val="000000" w:themeColor="text1"/>
                <w:spacing w:val="11"/>
                <w:sz w:val="22"/>
                <w:szCs w:val="22"/>
                <w14:textFill>
                  <w14:solidFill>
                    <w14:schemeClr w14:val="tx1"/>
                  </w14:solidFill>
                </w14:textFill>
              </w:rPr>
              <w:t>容等关键评审内容的，需另附业主单位出具的证明材料扫描</w:t>
            </w:r>
            <w:r>
              <w:rPr>
                <w:rFonts w:hint="eastAsia" w:ascii="仿宋_GB2312" w:hAnsi="仿宋_GB2312" w:eastAsia="仿宋_GB2312" w:cs="仿宋_GB2312"/>
                <w:b/>
                <w:bCs/>
                <w:color w:val="000000" w:themeColor="text1"/>
                <w:sz w:val="22"/>
                <w:szCs w:val="22"/>
                <w14:textFill>
                  <w14:solidFill>
                    <w14:schemeClr w14:val="tx1"/>
                  </w14:solidFill>
                </w14:textFill>
              </w:rPr>
              <w:t>件；</w:t>
            </w:r>
          </w:p>
        </w:tc>
        <w:tc>
          <w:tcPr>
            <w:tcW w:w="1122" w:type="dxa"/>
            <w:tcBorders>
              <w:tl2br w:val="nil"/>
              <w:tr2bl w:val="nil"/>
            </w:tcBorders>
            <w:noWrap w:val="0"/>
            <w:vAlign w:val="center"/>
          </w:tcPr>
          <w:p w14:paraId="05EA8E5D">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b/>
                <w:bCs/>
                <w:color w:val="000000" w:themeColor="text1"/>
                <w:sz w:val="22"/>
                <w:szCs w:val="22"/>
                <w14:textFill>
                  <w14:solidFill>
                    <w14:schemeClr w14:val="tx1"/>
                  </w14:solidFill>
                </w14:textFill>
              </w:rPr>
            </w:pPr>
          </w:p>
          <w:p w14:paraId="25EA7CAD">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0-10分</w:t>
            </w:r>
          </w:p>
        </w:tc>
      </w:tr>
      <w:tr w14:paraId="51BCA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886" w:type="dxa"/>
            <w:vMerge w:val="continue"/>
            <w:tcBorders>
              <w:tl2br w:val="nil"/>
              <w:tr2bl w:val="nil"/>
            </w:tcBorders>
            <w:noWrap w:val="0"/>
            <w:vAlign w:val="top"/>
          </w:tcPr>
          <w:p w14:paraId="6753406E">
            <w:pPr>
              <w:keepNext w:val="0"/>
              <w:keepLines w:val="0"/>
              <w:pageBreakBefore w:val="0"/>
              <w:widowControl w:val="0"/>
              <w:kinsoku/>
              <w:wordWrap/>
              <w:overflowPunct/>
              <w:topLinePunct w:val="0"/>
              <w:autoSpaceDE/>
              <w:autoSpaceDN/>
              <w:bidi w:val="0"/>
              <w:adjustRightInd/>
              <w:snapToGrid/>
              <w:spacing w:line="320" w:lineRule="exact"/>
              <w:ind w:left="0" w:right="0"/>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c>
          <w:tcPr>
            <w:tcW w:w="1956" w:type="dxa"/>
            <w:tcBorders>
              <w:tl2br w:val="nil"/>
              <w:tr2bl w:val="nil"/>
            </w:tcBorders>
            <w:noWrap w:val="0"/>
            <w:vAlign w:val="center"/>
          </w:tcPr>
          <w:p w14:paraId="789B6FA7">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履约反馈</w:t>
            </w:r>
          </w:p>
        </w:tc>
        <w:tc>
          <w:tcPr>
            <w:tcW w:w="5710" w:type="dxa"/>
            <w:tcBorders>
              <w:tl2br w:val="nil"/>
              <w:tr2bl w:val="nil"/>
            </w:tcBorders>
            <w:noWrap w:val="0"/>
            <w:vAlign w:val="top"/>
          </w:tcPr>
          <w:p w14:paraId="5B6ADEB2">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2"/>
                <w:sz w:val="22"/>
                <w:szCs w:val="22"/>
                <w14:textFill>
                  <w14:solidFill>
                    <w14:schemeClr w14:val="tx1"/>
                  </w14:solidFill>
                </w14:textFill>
              </w:rPr>
              <w:t>上述经</w:t>
            </w:r>
            <w:r>
              <w:rPr>
                <w:rFonts w:hint="eastAsia" w:ascii="仿宋_GB2312" w:hAnsi="仿宋_GB2312" w:eastAsia="仿宋_GB2312" w:cs="仿宋_GB2312"/>
                <w:color w:val="000000" w:themeColor="text1"/>
                <w:spacing w:val="2"/>
                <w:sz w:val="22"/>
                <w:szCs w:val="22"/>
                <w:lang w:val="en-US" w:eastAsia="zh-CN"/>
                <w14:textFill>
                  <w14:solidFill>
                    <w14:schemeClr w14:val="tx1"/>
                  </w14:solidFill>
                </w14:textFill>
              </w:rPr>
              <w:t>评标</w:t>
            </w:r>
            <w:r>
              <w:rPr>
                <w:rFonts w:hint="eastAsia" w:ascii="仿宋_GB2312" w:hAnsi="仿宋_GB2312" w:eastAsia="仿宋_GB2312" w:cs="仿宋_GB2312"/>
                <w:color w:val="000000" w:themeColor="text1"/>
                <w:spacing w:val="2"/>
                <w:sz w:val="22"/>
                <w:szCs w:val="22"/>
                <w14:textFill>
                  <w14:solidFill>
                    <w14:schemeClr w14:val="tx1"/>
                  </w14:solidFill>
                </w14:textFill>
              </w:rPr>
              <w:t>小组认可的业绩中，每提供一个对应业绩业主单位（合同甲方）给出的意见反馈良好（或满意）及以上评价的，</w:t>
            </w:r>
            <w:r>
              <w:rPr>
                <w:rFonts w:hint="eastAsia" w:ascii="仿宋_GB2312" w:hAnsi="仿宋_GB2312" w:eastAsia="仿宋_GB2312" w:cs="仿宋_GB2312"/>
                <w:color w:val="000000" w:themeColor="text1"/>
                <w:sz w:val="22"/>
                <w:szCs w:val="22"/>
                <w14:textFill>
                  <w14:solidFill>
                    <w14:schemeClr w14:val="tx1"/>
                  </w14:solidFill>
                </w14:textFill>
              </w:rPr>
              <w:t>得1分，满分5分。</w:t>
            </w:r>
          </w:p>
          <w:p w14:paraId="6D69DD93">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z w:val="22"/>
                <w:szCs w:val="22"/>
                <w14:textFill>
                  <w14:solidFill>
                    <w14:schemeClr w14:val="tx1"/>
                  </w14:solidFill>
                </w14:textFill>
              </w:rPr>
              <w:t>注：</w:t>
            </w:r>
          </w:p>
          <w:p w14:paraId="319FABC0">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z w:val="22"/>
                <w:szCs w:val="22"/>
                <w14:textFill>
                  <w14:solidFill>
                    <w14:schemeClr w14:val="tx1"/>
                  </w14:solidFill>
                </w14:textFill>
              </w:rPr>
              <w:t>（1）同一业绩提供的多份履约反馈评价仅计分一次；</w:t>
            </w:r>
          </w:p>
          <w:p w14:paraId="3506E0A6">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pacing w:val="15"/>
                <w:sz w:val="22"/>
                <w:szCs w:val="22"/>
                <w14:textFill>
                  <w14:solidFill>
                    <w14:schemeClr w14:val="tx1"/>
                  </w14:solidFill>
                </w14:textFill>
              </w:rPr>
              <w:t>（2）此处良好即表达到良好意思即可，同等意思表达如满</w:t>
            </w:r>
            <w:r>
              <w:rPr>
                <w:rFonts w:hint="eastAsia" w:ascii="仿宋_GB2312" w:hAnsi="仿宋_GB2312" w:eastAsia="仿宋_GB2312" w:cs="仿宋_GB2312"/>
                <w:b/>
                <w:bCs/>
                <w:color w:val="000000" w:themeColor="text1"/>
                <w:spacing w:val="6"/>
                <w:sz w:val="22"/>
                <w:szCs w:val="22"/>
                <w14:textFill>
                  <w14:solidFill>
                    <w14:schemeClr w14:val="tx1"/>
                  </w14:solidFill>
                </w14:textFill>
              </w:rPr>
              <w:t>意、非常满意、认可、高度认可、考核得分</w:t>
            </w:r>
            <w:r>
              <w:rPr>
                <w:rFonts w:hint="eastAsia" w:ascii="仿宋_GB2312" w:hAnsi="仿宋_GB2312" w:eastAsia="仿宋_GB2312" w:cs="仿宋_GB2312"/>
                <w:b/>
                <w:bCs/>
                <w:color w:val="000000" w:themeColor="text1"/>
                <w:sz w:val="22"/>
                <w:szCs w:val="22"/>
                <w14:textFill>
                  <w14:solidFill>
                    <w14:schemeClr w14:val="tx1"/>
                  </w14:solidFill>
                </w14:textFill>
              </w:rPr>
              <w:t>80</w:t>
            </w:r>
            <w:r>
              <w:rPr>
                <w:rFonts w:hint="eastAsia" w:ascii="仿宋_GB2312" w:hAnsi="仿宋_GB2312" w:eastAsia="仿宋_GB2312" w:cs="仿宋_GB2312"/>
                <w:b/>
                <w:bCs/>
                <w:color w:val="000000" w:themeColor="text1"/>
                <w:spacing w:val="5"/>
                <w:sz w:val="22"/>
                <w:szCs w:val="22"/>
                <w14:textFill>
                  <w14:solidFill>
                    <w14:schemeClr w14:val="tx1"/>
                  </w14:solidFill>
                </w14:textFill>
              </w:rPr>
              <w:t>或以上等均予</w:t>
            </w:r>
            <w:r>
              <w:rPr>
                <w:rFonts w:hint="eastAsia" w:ascii="仿宋_GB2312" w:hAnsi="仿宋_GB2312" w:eastAsia="仿宋_GB2312" w:cs="仿宋_GB2312"/>
                <w:b/>
                <w:bCs/>
                <w:color w:val="000000" w:themeColor="text1"/>
                <w:sz w:val="22"/>
                <w:szCs w:val="22"/>
                <w14:textFill>
                  <w14:solidFill>
                    <w14:schemeClr w14:val="tx1"/>
                  </w14:solidFill>
                </w14:textFill>
              </w:rPr>
              <w:t>以认可；</w:t>
            </w:r>
          </w:p>
          <w:p w14:paraId="24BD4583">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pacing w:val="6"/>
                <w:sz w:val="22"/>
                <w:szCs w:val="22"/>
                <w14:textFill>
                  <w14:solidFill>
                    <w14:schemeClr w14:val="tx1"/>
                  </w14:solidFill>
                </w14:textFill>
              </w:rPr>
              <w:t>（3）响应文件中须提供业主单位（或合同甲方）出具的履约</w:t>
            </w:r>
            <w:r>
              <w:rPr>
                <w:rFonts w:hint="eastAsia" w:ascii="仿宋_GB2312" w:hAnsi="仿宋_GB2312" w:eastAsia="仿宋_GB2312" w:cs="仿宋_GB2312"/>
                <w:b/>
                <w:bCs/>
                <w:color w:val="000000" w:themeColor="text1"/>
                <w:sz w:val="22"/>
                <w:szCs w:val="22"/>
                <w14:textFill>
                  <w14:solidFill>
                    <w14:schemeClr w14:val="tx1"/>
                  </w14:solidFill>
                </w14:textFill>
              </w:rPr>
              <w:t>反馈材料的扫描件，未提供的不得分；</w:t>
            </w:r>
          </w:p>
          <w:p w14:paraId="040DA93D">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z w:val="22"/>
                <w:szCs w:val="22"/>
                <w14:textFill>
                  <w14:solidFill>
                    <w14:schemeClr w14:val="tx1"/>
                  </w14:solidFill>
                </w14:textFill>
              </w:rPr>
              <w:t>（4）未经</w:t>
            </w:r>
            <w:r>
              <w:rPr>
                <w:rFonts w:hint="eastAsia" w:ascii="仿宋_GB2312" w:hAnsi="仿宋_GB2312" w:eastAsia="仿宋_GB2312" w:cs="仿宋_GB2312"/>
                <w:b/>
                <w:bCs/>
                <w:color w:val="000000" w:themeColor="text1"/>
                <w:sz w:val="22"/>
                <w:szCs w:val="22"/>
                <w:lang w:val="en-US" w:eastAsia="zh-CN"/>
                <w14:textFill>
                  <w14:solidFill>
                    <w14:schemeClr w14:val="tx1"/>
                  </w14:solidFill>
                </w14:textFill>
              </w:rPr>
              <w:t>评标</w:t>
            </w:r>
            <w:r>
              <w:rPr>
                <w:rFonts w:hint="eastAsia" w:ascii="仿宋_GB2312" w:hAnsi="仿宋_GB2312" w:eastAsia="仿宋_GB2312" w:cs="仿宋_GB2312"/>
                <w:b/>
                <w:bCs/>
                <w:color w:val="000000" w:themeColor="text1"/>
                <w:sz w:val="22"/>
                <w:szCs w:val="22"/>
                <w14:textFill>
                  <w14:solidFill>
                    <w14:schemeClr w14:val="tx1"/>
                  </w14:solidFill>
                </w14:textFill>
              </w:rPr>
              <w:t>小组认可的业绩，对应评价不得分。</w:t>
            </w:r>
          </w:p>
        </w:tc>
        <w:tc>
          <w:tcPr>
            <w:tcW w:w="1122" w:type="dxa"/>
            <w:tcBorders>
              <w:tl2br w:val="nil"/>
              <w:tr2bl w:val="nil"/>
            </w:tcBorders>
            <w:noWrap w:val="0"/>
            <w:vAlign w:val="center"/>
          </w:tcPr>
          <w:p w14:paraId="53660030">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0-5分</w:t>
            </w:r>
          </w:p>
        </w:tc>
      </w:tr>
      <w:tr w14:paraId="1D3A4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886" w:type="dxa"/>
            <w:vMerge w:val="continue"/>
            <w:tcBorders>
              <w:tl2br w:val="nil"/>
              <w:tr2bl w:val="nil"/>
            </w:tcBorders>
            <w:noWrap w:val="0"/>
            <w:vAlign w:val="top"/>
          </w:tcPr>
          <w:p w14:paraId="33F980E8">
            <w:pPr>
              <w:keepNext w:val="0"/>
              <w:keepLines w:val="0"/>
              <w:pageBreakBefore w:val="0"/>
              <w:widowControl w:val="0"/>
              <w:kinsoku/>
              <w:wordWrap/>
              <w:overflowPunct/>
              <w:topLinePunct w:val="0"/>
              <w:autoSpaceDE/>
              <w:autoSpaceDN/>
              <w:bidi w:val="0"/>
              <w:adjustRightInd/>
              <w:snapToGrid/>
              <w:spacing w:line="320" w:lineRule="exact"/>
              <w:ind w:left="0" w:right="0"/>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c>
          <w:tcPr>
            <w:tcW w:w="1956" w:type="dxa"/>
            <w:tcBorders>
              <w:tl2br w:val="nil"/>
              <w:tr2bl w:val="nil"/>
            </w:tcBorders>
            <w:noWrap w:val="0"/>
            <w:vAlign w:val="center"/>
          </w:tcPr>
          <w:p w14:paraId="2737B193">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4F81BD" w:themeColor="accent1"/>
                <w:sz w:val="22"/>
                <w:szCs w:val="22"/>
                <w14:textFill>
                  <w14:solidFill>
                    <w14:schemeClr w14:val="accent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运输设备</w:t>
            </w:r>
          </w:p>
        </w:tc>
        <w:tc>
          <w:tcPr>
            <w:tcW w:w="5710" w:type="dxa"/>
            <w:tcBorders>
              <w:tl2br w:val="nil"/>
              <w:tr2bl w:val="nil"/>
            </w:tcBorders>
            <w:noWrap w:val="0"/>
            <w:vAlign w:val="top"/>
          </w:tcPr>
          <w:p w14:paraId="4A65CD1A">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z w:val="22"/>
                <w:szCs w:val="22"/>
                <w:lang w:eastAsia="zh-CN"/>
                <w14:textFill>
                  <w14:solidFill>
                    <w14:schemeClr w14:val="tx1"/>
                  </w14:solidFill>
                </w14:textFill>
              </w:rPr>
            </w:pPr>
            <w:r>
              <w:rPr>
                <w:rFonts w:hint="eastAsia" w:ascii="仿宋_GB2312" w:hAnsi="仿宋_GB2312" w:eastAsia="仿宋_GB2312" w:cs="仿宋_GB2312"/>
                <w:color w:val="000000" w:themeColor="text1"/>
                <w:spacing w:val="4"/>
                <w:sz w:val="22"/>
                <w:szCs w:val="22"/>
                <w14:textFill>
                  <w14:solidFill>
                    <w14:schemeClr w14:val="tx1"/>
                  </w14:solidFill>
                </w14:textFill>
              </w:rPr>
              <w:t>供应商为本项目配备的绿植（花卉）</w:t>
            </w:r>
            <w:r>
              <w:rPr>
                <w:rFonts w:hint="eastAsia" w:ascii="仿宋_GB2312" w:hAnsi="仿宋_GB2312" w:eastAsia="仿宋_GB2312" w:cs="仿宋_GB2312"/>
                <w:color w:val="000000" w:themeColor="text1"/>
                <w:spacing w:val="4"/>
                <w:sz w:val="22"/>
                <w:szCs w:val="22"/>
                <w:lang w:val="en-US" w:eastAsia="zh-CN"/>
                <w14:textFill>
                  <w14:solidFill>
                    <w14:schemeClr w14:val="tx1"/>
                  </w14:solidFill>
                </w14:textFill>
              </w:rPr>
              <w:t>运输</w:t>
            </w:r>
            <w:r>
              <w:rPr>
                <w:rFonts w:hint="eastAsia" w:ascii="仿宋_GB2312" w:hAnsi="仿宋_GB2312" w:eastAsia="仿宋_GB2312" w:cs="仿宋_GB2312"/>
                <w:color w:val="000000" w:themeColor="text1"/>
                <w:spacing w:val="4"/>
                <w:sz w:val="22"/>
                <w:szCs w:val="22"/>
                <w14:textFill>
                  <w14:solidFill>
                    <w14:schemeClr w14:val="tx1"/>
                  </w14:solidFill>
                </w14:textFill>
              </w:rPr>
              <w:t>车辆</w:t>
            </w:r>
            <w:r>
              <w:rPr>
                <w:rFonts w:hint="eastAsia" w:ascii="仿宋_GB2312" w:hAnsi="仿宋_GB2312" w:eastAsia="仿宋_GB2312" w:cs="仿宋_GB2312"/>
                <w:color w:val="000000" w:themeColor="text1"/>
                <w:spacing w:val="4"/>
                <w:sz w:val="22"/>
                <w:szCs w:val="22"/>
                <w:lang w:eastAsia="zh-CN"/>
                <w14:textFill>
                  <w14:solidFill>
                    <w14:schemeClr w14:val="tx1"/>
                  </w14:solidFill>
                </w14:textFill>
              </w:rPr>
              <w:t>（</w:t>
            </w:r>
            <w:r>
              <w:rPr>
                <w:rFonts w:hint="eastAsia" w:ascii="仿宋_GB2312" w:hAnsi="仿宋_GB2312" w:eastAsia="仿宋_GB2312" w:cs="仿宋_GB2312"/>
                <w:color w:val="000000" w:themeColor="text1"/>
                <w:spacing w:val="4"/>
                <w:sz w:val="22"/>
                <w:szCs w:val="22"/>
                <w:lang w:val="en-US" w:eastAsia="zh-CN"/>
                <w14:textFill>
                  <w14:solidFill>
                    <w14:schemeClr w14:val="tx1"/>
                  </w14:solidFill>
                </w14:textFill>
              </w:rPr>
              <w:t>车辆类型为货车</w:t>
            </w:r>
            <w:r>
              <w:rPr>
                <w:rFonts w:hint="eastAsia" w:ascii="仿宋_GB2312" w:hAnsi="仿宋_GB2312" w:eastAsia="仿宋_GB2312" w:cs="仿宋_GB2312"/>
                <w:color w:val="000000" w:themeColor="text1"/>
                <w:spacing w:val="4"/>
                <w:sz w:val="22"/>
                <w:szCs w:val="22"/>
                <w:lang w:eastAsia="zh-CN"/>
                <w14:textFill>
                  <w14:solidFill>
                    <w14:schemeClr w14:val="tx1"/>
                  </w14:solidFill>
                </w14:textFill>
              </w:rPr>
              <w:t>）</w:t>
            </w:r>
            <w:r>
              <w:rPr>
                <w:rFonts w:hint="eastAsia" w:ascii="仿宋_GB2312" w:hAnsi="仿宋_GB2312" w:eastAsia="仿宋_GB2312" w:cs="仿宋_GB2312"/>
                <w:color w:val="000000" w:themeColor="text1"/>
                <w:spacing w:val="4"/>
                <w:sz w:val="22"/>
                <w:szCs w:val="22"/>
                <w14:textFill>
                  <w14:solidFill>
                    <w14:schemeClr w14:val="tx1"/>
                  </w14:solidFill>
                </w14:textFill>
              </w:rPr>
              <w:t>数量：3</w:t>
            </w:r>
            <w:r>
              <w:rPr>
                <w:rFonts w:hint="eastAsia" w:ascii="仿宋_GB2312" w:hAnsi="仿宋_GB2312" w:eastAsia="仿宋_GB2312" w:cs="仿宋_GB2312"/>
                <w:color w:val="000000" w:themeColor="text1"/>
                <w:spacing w:val="3"/>
                <w:sz w:val="22"/>
                <w:szCs w:val="22"/>
                <w14:textFill>
                  <w14:solidFill>
                    <w14:schemeClr w14:val="tx1"/>
                  </w14:solidFill>
                </w14:textFill>
              </w:rPr>
              <w:t>台及以</w:t>
            </w:r>
            <w:r>
              <w:rPr>
                <w:rFonts w:hint="eastAsia" w:ascii="仿宋_GB2312" w:hAnsi="仿宋_GB2312" w:eastAsia="仿宋_GB2312" w:cs="仿宋_GB2312"/>
                <w:color w:val="000000" w:themeColor="text1"/>
                <w:sz w:val="22"/>
                <w:szCs w:val="22"/>
                <w14:textFill>
                  <w14:solidFill>
                    <w14:schemeClr w14:val="tx1"/>
                  </w14:solidFill>
                </w14:textFill>
              </w:rPr>
              <w:t>上得3分；2台得2分；1台得1分；未提供车辆得0分。</w:t>
            </w:r>
          </w:p>
          <w:p w14:paraId="027069C0">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4F81BD" w:themeColor="accent1"/>
                <w:sz w:val="22"/>
                <w:szCs w:val="22"/>
                <w14:textFill>
                  <w14:solidFill>
                    <w14:schemeClr w14:val="accent1"/>
                  </w14:solidFill>
                </w14:textFill>
              </w:rPr>
            </w:pPr>
            <w:r>
              <w:rPr>
                <w:rFonts w:hint="eastAsia" w:ascii="仿宋_GB2312" w:hAnsi="仿宋_GB2312" w:eastAsia="仿宋_GB2312" w:cs="仿宋_GB2312"/>
                <w:b/>
                <w:bCs/>
                <w:color w:val="000000" w:themeColor="text1"/>
                <w:spacing w:val="2"/>
                <w:sz w:val="22"/>
                <w:szCs w:val="22"/>
                <w14:textFill>
                  <w14:solidFill>
                    <w14:schemeClr w14:val="tx1"/>
                  </w14:solidFill>
                </w14:textFill>
              </w:rPr>
              <w:t>注：提供车辆有效行驶证，自有车辆还需提供对应购买发票，</w:t>
            </w:r>
            <w:r>
              <w:rPr>
                <w:rFonts w:hint="eastAsia" w:ascii="仿宋_GB2312" w:hAnsi="仿宋_GB2312" w:eastAsia="仿宋_GB2312" w:cs="仿宋_GB2312"/>
                <w:b/>
                <w:bCs/>
                <w:color w:val="000000" w:themeColor="text1"/>
                <w:spacing w:val="-6"/>
                <w:sz w:val="22"/>
                <w:szCs w:val="22"/>
                <w14:textFill>
                  <w14:solidFill>
                    <w14:schemeClr w14:val="tx1"/>
                  </w14:solidFill>
                </w14:textFill>
              </w:rPr>
              <w:t>租赁车辆需提供租赁合同（家庭轿车不计分）。</w:t>
            </w:r>
          </w:p>
        </w:tc>
        <w:tc>
          <w:tcPr>
            <w:tcW w:w="1122" w:type="dxa"/>
            <w:tcBorders>
              <w:tl2br w:val="nil"/>
              <w:tr2bl w:val="nil"/>
            </w:tcBorders>
            <w:noWrap w:val="0"/>
            <w:vAlign w:val="center"/>
          </w:tcPr>
          <w:p w14:paraId="657B07AE">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4F81BD" w:themeColor="accent1"/>
                <w:sz w:val="22"/>
                <w:szCs w:val="22"/>
                <w14:textFill>
                  <w14:solidFill>
                    <w14:schemeClr w14:val="accent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0-3分</w:t>
            </w:r>
          </w:p>
        </w:tc>
      </w:tr>
      <w:tr w14:paraId="1B883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886" w:type="dxa"/>
            <w:vMerge w:val="continue"/>
            <w:tcBorders>
              <w:tl2br w:val="nil"/>
              <w:tr2bl w:val="nil"/>
            </w:tcBorders>
            <w:noWrap w:val="0"/>
            <w:vAlign w:val="top"/>
          </w:tcPr>
          <w:p w14:paraId="46B37C9E">
            <w:pPr>
              <w:keepNext w:val="0"/>
              <w:keepLines w:val="0"/>
              <w:pageBreakBefore w:val="0"/>
              <w:widowControl w:val="0"/>
              <w:kinsoku/>
              <w:wordWrap/>
              <w:overflowPunct/>
              <w:topLinePunct w:val="0"/>
              <w:autoSpaceDE/>
              <w:autoSpaceDN/>
              <w:bidi w:val="0"/>
              <w:adjustRightInd/>
              <w:snapToGrid/>
              <w:spacing w:line="320" w:lineRule="exact"/>
              <w:ind w:left="0" w:right="0"/>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c>
          <w:tcPr>
            <w:tcW w:w="1956" w:type="dxa"/>
            <w:tcBorders>
              <w:tl2br w:val="nil"/>
              <w:tr2bl w:val="nil"/>
            </w:tcBorders>
            <w:noWrap w:val="0"/>
            <w:vAlign w:val="center"/>
          </w:tcPr>
          <w:p w14:paraId="05CB6346">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团队人员</w:t>
            </w:r>
          </w:p>
        </w:tc>
        <w:tc>
          <w:tcPr>
            <w:tcW w:w="5710" w:type="dxa"/>
            <w:tcBorders>
              <w:tl2br w:val="nil"/>
              <w:tr2bl w:val="nil"/>
            </w:tcBorders>
            <w:noWrap w:val="0"/>
            <w:vAlign w:val="top"/>
          </w:tcPr>
          <w:p w14:paraId="186ED24D">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pacing w:val="15"/>
                <w:sz w:val="22"/>
                <w:szCs w:val="22"/>
                <w14:textFill>
                  <w14:solidFill>
                    <w14:schemeClr w14:val="tx1"/>
                  </w14:solidFill>
                </w14:textFill>
              </w:rPr>
            </w:pPr>
            <w:r>
              <w:rPr>
                <w:rFonts w:hint="eastAsia" w:ascii="仿宋_GB2312" w:hAnsi="仿宋_GB2312" w:eastAsia="仿宋_GB2312" w:cs="仿宋_GB2312"/>
                <w:color w:val="000000" w:themeColor="text1"/>
                <w:spacing w:val="15"/>
                <w:sz w:val="22"/>
                <w:szCs w:val="22"/>
                <w:lang w:val="en-US" w:eastAsia="zh-CN"/>
                <w14:textFill>
                  <w14:solidFill>
                    <w14:schemeClr w14:val="tx1"/>
                  </w14:solidFill>
                </w14:textFill>
              </w:rPr>
              <w:t>1.评标</w:t>
            </w:r>
            <w:r>
              <w:rPr>
                <w:rFonts w:hint="eastAsia" w:ascii="仿宋_GB2312" w:hAnsi="仿宋_GB2312" w:eastAsia="仿宋_GB2312" w:cs="仿宋_GB2312"/>
                <w:color w:val="000000" w:themeColor="text1"/>
                <w:spacing w:val="15"/>
                <w:sz w:val="22"/>
                <w:szCs w:val="22"/>
                <w14:textFill>
                  <w14:solidFill>
                    <w14:schemeClr w14:val="tx1"/>
                  </w14:solidFill>
                </w14:textFill>
              </w:rPr>
              <w:t>小组根据供应商提供团队人员配备情况从专业配备和职责分两个方面进行综合评审：</w:t>
            </w:r>
          </w:p>
          <w:p w14:paraId="5195F65D">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15"/>
                <w:sz w:val="22"/>
                <w:szCs w:val="22"/>
                <w14:textFill>
                  <w14:solidFill>
                    <w14:schemeClr w14:val="tx1"/>
                  </w14:solidFill>
                </w14:textFill>
              </w:rPr>
              <w:t>（1）具有专业人才队伍支撑，专业配备齐全，职责分工明</w:t>
            </w:r>
            <w:r>
              <w:rPr>
                <w:rFonts w:hint="eastAsia" w:ascii="仿宋_GB2312" w:hAnsi="仿宋_GB2312" w:eastAsia="仿宋_GB2312" w:cs="仿宋_GB2312"/>
                <w:color w:val="000000" w:themeColor="text1"/>
                <w:sz w:val="22"/>
                <w:szCs w:val="22"/>
                <w14:textFill>
                  <w14:solidFill>
                    <w14:schemeClr w14:val="tx1"/>
                  </w14:solidFill>
                </w14:textFill>
              </w:rPr>
              <w:t>确，优于本项目采购需求，得4分；</w:t>
            </w:r>
          </w:p>
          <w:p w14:paraId="06957E99">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6"/>
                <w:sz w:val="22"/>
                <w:szCs w:val="22"/>
                <w14:textFill>
                  <w14:solidFill>
                    <w14:schemeClr w14:val="tx1"/>
                  </w14:solidFill>
                </w14:textFill>
              </w:rPr>
              <w:t>（2）组织结构完整，专业配备较齐全，职责分工较明确，满</w:t>
            </w:r>
            <w:r>
              <w:rPr>
                <w:rFonts w:hint="eastAsia" w:ascii="仿宋_GB2312" w:hAnsi="仿宋_GB2312" w:eastAsia="仿宋_GB2312" w:cs="仿宋_GB2312"/>
                <w:color w:val="000000" w:themeColor="text1"/>
                <w:sz w:val="22"/>
                <w:szCs w:val="22"/>
                <w14:textFill>
                  <w14:solidFill>
                    <w14:schemeClr w14:val="tx1"/>
                  </w14:solidFill>
                </w14:textFill>
              </w:rPr>
              <w:t>足采购需求，得2分；</w:t>
            </w:r>
          </w:p>
          <w:p w14:paraId="6EE44E44">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（3）专业配备、职责分工满足基本人员配置需求，得1分；</w:t>
            </w:r>
          </w:p>
          <w:p w14:paraId="2F413F55">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pacing w:val="2"/>
                <w:sz w:val="22"/>
                <w:szCs w:val="22"/>
                <w14:textFill>
                  <w14:solidFill>
                    <w14:schemeClr w14:val="tx1"/>
                  </w14:solidFill>
                </w14:textFill>
              </w:rPr>
            </w:pPr>
            <w:r>
              <w:rPr>
                <w:rFonts w:hint="eastAsia" w:ascii="仿宋_GB2312" w:hAnsi="仿宋_GB2312" w:eastAsia="仿宋_GB2312" w:cs="仿宋_GB2312"/>
                <w:color w:val="000000" w:themeColor="text1"/>
                <w:spacing w:val="6"/>
                <w:sz w:val="22"/>
                <w:szCs w:val="22"/>
                <w14:textFill>
                  <w14:solidFill>
                    <w14:schemeClr w14:val="tx1"/>
                  </w14:solidFill>
                </w14:textFill>
              </w:rPr>
              <w:t>（4）配备的团队人员不能满足采购需求或未提供团队人员配</w:t>
            </w:r>
            <w:r>
              <w:rPr>
                <w:rFonts w:hint="eastAsia" w:ascii="仿宋_GB2312" w:hAnsi="仿宋_GB2312" w:eastAsia="仿宋_GB2312" w:cs="仿宋_GB2312"/>
                <w:color w:val="000000" w:themeColor="text1"/>
                <w:sz w:val="22"/>
                <w:szCs w:val="22"/>
                <w14:textFill>
                  <w14:solidFill>
                    <w14:schemeClr w14:val="tx1"/>
                  </w14:solidFill>
                </w14:textFill>
              </w:rPr>
              <w:t>备的，不得分。</w:t>
            </w:r>
          </w:p>
          <w:p w14:paraId="6AC5DBCD">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2"/>
                <w:sz w:val="22"/>
                <w:szCs w:val="22"/>
                <w14:textFill>
                  <w14:solidFill>
                    <w14:schemeClr w14:val="tx1"/>
                  </w14:solidFill>
                </w14:textFill>
              </w:rPr>
              <w:t>2.供应商为本项目配备的服务团队人员中，每提供一个具有三</w:t>
            </w:r>
            <w:r>
              <w:rPr>
                <w:rFonts w:hint="eastAsia" w:ascii="仿宋_GB2312" w:hAnsi="仿宋_GB2312" w:eastAsia="仿宋_GB2312" w:cs="仿宋_GB2312"/>
                <w:color w:val="000000" w:themeColor="text1"/>
                <w:sz w:val="22"/>
                <w:szCs w:val="22"/>
                <w14:textFill>
                  <w14:solidFill>
                    <w14:schemeClr w14:val="tx1"/>
                  </w14:solidFill>
                </w14:textFill>
              </w:rPr>
              <w:t>级及以上花卉园艺师证书得2分，满分4分。</w:t>
            </w:r>
          </w:p>
          <w:p w14:paraId="39BAAD88">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z w:val="22"/>
                <w:szCs w:val="22"/>
                <w14:textFill>
                  <w14:solidFill>
                    <w14:schemeClr w14:val="tx1"/>
                  </w14:solidFill>
                </w14:textFill>
              </w:rPr>
              <w:t>注：</w:t>
            </w:r>
          </w:p>
          <w:p w14:paraId="0FFF0E12">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pacing w:val="7"/>
                <w:w w:val="95"/>
                <w:sz w:val="22"/>
                <w:szCs w:val="22"/>
                <w14:textFill>
                  <w14:solidFill>
                    <w14:schemeClr w14:val="tx1"/>
                  </w14:solidFill>
                </w14:textFill>
              </w:rPr>
              <w:t>（1）需提供证书扫描件以及技能人才评价证书全国联网查询</w:t>
            </w:r>
            <w:r>
              <w:rPr>
                <w:rFonts w:hint="eastAsia" w:ascii="仿宋_GB2312" w:hAnsi="仿宋_GB2312" w:eastAsia="仿宋_GB2312" w:cs="仿宋_GB2312"/>
                <w:b/>
                <w:bCs/>
                <w:color w:val="000000" w:themeColor="text1"/>
                <w:sz w:val="22"/>
                <w:szCs w:val="22"/>
                <w14:textFill>
                  <w14:solidFill>
                    <w14:schemeClr w14:val="tx1"/>
                  </w14:solidFill>
                </w14:textFill>
              </w:rPr>
              <w:t>截图；</w:t>
            </w:r>
          </w:p>
          <w:p w14:paraId="363F2BBE">
            <w:pPr>
              <w:pStyle w:val="23"/>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pacing w:val="6"/>
                <w:sz w:val="22"/>
                <w:szCs w:val="22"/>
                <w14:textFill>
                  <w14:solidFill>
                    <w14:schemeClr w14:val="tx1"/>
                  </w14:solidFill>
                </w14:textFill>
              </w:rPr>
              <w:t>（2）提供自</w:t>
            </w:r>
            <w:r>
              <w:rPr>
                <w:rFonts w:hint="eastAsia" w:ascii="仿宋_GB2312" w:hAnsi="仿宋_GB2312" w:eastAsia="仿宋_GB2312" w:cs="仿宋_GB2312"/>
                <w:b/>
                <w:bCs/>
                <w:color w:val="000000" w:themeColor="text1"/>
                <w:sz w:val="22"/>
                <w:szCs w:val="22"/>
                <w14:textFill>
                  <w14:solidFill>
                    <w14:schemeClr w14:val="tx1"/>
                  </w14:solidFill>
                </w14:textFill>
              </w:rPr>
              <w:t>2024年10月1</w:t>
            </w:r>
            <w:r>
              <w:rPr>
                <w:rFonts w:hint="eastAsia" w:ascii="仿宋_GB2312" w:hAnsi="仿宋_GB2312" w:eastAsia="仿宋_GB2312" w:cs="仿宋_GB2312"/>
                <w:b/>
                <w:bCs/>
                <w:color w:val="000000" w:themeColor="text1"/>
                <w:spacing w:val="5"/>
                <w:sz w:val="22"/>
                <w:szCs w:val="22"/>
                <w14:textFill>
                  <w14:solidFill>
                    <w14:schemeClr w14:val="tx1"/>
                  </w14:solidFill>
                </w14:textFill>
              </w:rPr>
              <w:t>日以来任意连续</w:t>
            </w:r>
            <w:r>
              <w:rPr>
                <w:rFonts w:hint="eastAsia" w:ascii="仿宋_GB2312" w:hAnsi="仿宋_GB2312" w:eastAsia="仿宋_GB2312" w:cs="仿宋_GB2312"/>
                <w:b/>
                <w:bCs/>
                <w:color w:val="000000" w:themeColor="text1"/>
                <w:sz w:val="22"/>
                <w:szCs w:val="22"/>
                <w14:textFill>
                  <w14:solidFill>
                    <w14:schemeClr w14:val="tx1"/>
                  </w14:solidFill>
                </w14:textFill>
              </w:rPr>
              <w:t>3</w:t>
            </w:r>
            <w:r>
              <w:rPr>
                <w:rFonts w:hint="eastAsia" w:ascii="仿宋_GB2312" w:hAnsi="仿宋_GB2312" w:eastAsia="仿宋_GB2312" w:cs="仿宋_GB2312"/>
                <w:b/>
                <w:bCs/>
                <w:color w:val="000000" w:themeColor="text1"/>
                <w:spacing w:val="5"/>
                <w:sz w:val="22"/>
                <w:szCs w:val="22"/>
                <w14:textFill>
                  <w14:solidFill>
                    <w14:schemeClr w14:val="tx1"/>
                  </w14:solidFill>
                </w14:textFill>
              </w:rPr>
              <w:t>个月的社保证</w:t>
            </w:r>
            <w:r>
              <w:rPr>
                <w:rFonts w:hint="eastAsia" w:ascii="仿宋_GB2312" w:hAnsi="仿宋_GB2312" w:eastAsia="仿宋_GB2312" w:cs="仿宋_GB2312"/>
                <w:b/>
                <w:bCs/>
                <w:color w:val="000000" w:themeColor="text1"/>
                <w:sz w:val="22"/>
                <w:szCs w:val="22"/>
                <w14:textFill>
                  <w14:solidFill>
                    <w14:schemeClr w14:val="tx1"/>
                  </w14:solidFill>
                </w14:textFill>
              </w:rPr>
              <w:t>明材料。</w:t>
            </w:r>
          </w:p>
        </w:tc>
        <w:tc>
          <w:tcPr>
            <w:tcW w:w="1122" w:type="dxa"/>
            <w:tcBorders>
              <w:tl2br w:val="nil"/>
              <w:tr2bl w:val="nil"/>
            </w:tcBorders>
            <w:noWrap w:val="0"/>
            <w:vAlign w:val="center"/>
          </w:tcPr>
          <w:p w14:paraId="63E7A012">
            <w:pPr>
              <w:pStyle w:val="23"/>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8</w:t>
            </w:r>
            <w:r>
              <w:rPr>
                <w:rFonts w:hint="eastAsia" w:ascii="仿宋_GB2312" w:hAnsi="仿宋_GB2312" w:eastAsia="仿宋_GB2312" w:cs="仿宋_GB2312"/>
                <w:color w:val="000000" w:themeColor="text1"/>
                <w:sz w:val="22"/>
                <w:szCs w:val="22"/>
                <w14:textFill>
                  <w14:solidFill>
                    <w14:schemeClr w14:val="tx1"/>
                  </w14:solidFill>
                </w14:textFill>
              </w:rPr>
              <w:t>分</w:t>
            </w:r>
          </w:p>
        </w:tc>
      </w:tr>
      <w:tr w14:paraId="7CD7C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69" w:hRule="atLeast"/>
          <w:jc w:val="center"/>
        </w:trPr>
        <w:tc>
          <w:tcPr>
            <w:tcW w:w="886" w:type="dxa"/>
            <w:vMerge w:val="continue"/>
            <w:tcBorders>
              <w:tl2br w:val="nil"/>
              <w:tr2bl w:val="nil"/>
            </w:tcBorders>
            <w:noWrap w:val="0"/>
            <w:vAlign w:val="top"/>
          </w:tcPr>
          <w:p w14:paraId="4C92B08B">
            <w:pPr>
              <w:keepNext w:val="0"/>
              <w:keepLines w:val="0"/>
              <w:pageBreakBefore w:val="0"/>
              <w:widowControl w:val="0"/>
              <w:kinsoku/>
              <w:wordWrap/>
              <w:overflowPunct/>
              <w:topLinePunct w:val="0"/>
              <w:autoSpaceDE/>
              <w:autoSpaceDN/>
              <w:bidi w:val="0"/>
              <w:adjustRightInd/>
              <w:snapToGrid/>
              <w:spacing w:line="320" w:lineRule="exact"/>
              <w:ind w:left="0" w:right="0"/>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c>
          <w:tcPr>
            <w:tcW w:w="1956" w:type="dxa"/>
            <w:tcBorders>
              <w:tl2br w:val="nil"/>
              <w:tr2bl w:val="nil"/>
            </w:tcBorders>
            <w:noWrap w:val="0"/>
            <w:vAlign w:val="center"/>
          </w:tcPr>
          <w:p w14:paraId="76BB6E72">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供应商实力</w:t>
            </w:r>
          </w:p>
        </w:tc>
        <w:tc>
          <w:tcPr>
            <w:tcW w:w="5710" w:type="dxa"/>
            <w:tcBorders>
              <w:tl2br w:val="nil"/>
              <w:tr2bl w:val="nil"/>
            </w:tcBorders>
            <w:noWrap w:val="0"/>
            <w:vAlign w:val="top"/>
          </w:tcPr>
          <w:p w14:paraId="6841BC71">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2"/>
                <w:sz w:val="22"/>
                <w:szCs w:val="22"/>
                <w14:textFill>
                  <w14:solidFill>
                    <w14:schemeClr w14:val="tx1"/>
                  </w14:solidFill>
                </w14:textFill>
              </w:rPr>
              <w:t>供应商拥有绿植</w:t>
            </w:r>
            <w:r>
              <w:rPr>
                <w:rFonts w:hint="eastAsia" w:ascii="仿宋_GB2312" w:hAnsi="仿宋_GB2312" w:eastAsia="仿宋_GB2312" w:cs="仿宋_GB2312"/>
                <w:color w:val="000000" w:themeColor="text1"/>
                <w:spacing w:val="2"/>
                <w:sz w:val="22"/>
                <w:szCs w:val="22"/>
                <w:lang w:val="en-US" w:eastAsia="zh-CN"/>
                <w14:textFill>
                  <w14:solidFill>
                    <w14:schemeClr w14:val="tx1"/>
                  </w14:solidFill>
                </w14:textFill>
              </w:rPr>
              <w:t>培育</w:t>
            </w:r>
            <w:r>
              <w:rPr>
                <w:rFonts w:hint="eastAsia" w:ascii="仿宋_GB2312" w:hAnsi="仿宋_GB2312" w:eastAsia="仿宋_GB2312" w:cs="仿宋_GB2312"/>
                <w:color w:val="000000" w:themeColor="text1"/>
                <w:spacing w:val="2"/>
                <w:sz w:val="22"/>
                <w:szCs w:val="22"/>
                <w14:textFill>
                  <w14:solidFill>
                    <w14:schemeClr w14:val="tx1"/>
                  </w14:solidFill>
                </w14:textFill>
              </w:rPr>
              <w:t>基地或销售实体店面，</w:t>
            </w:r>
            <w:r>
              <w:rPr>
                <w:rFonts w:hint="eastAsia" w:ascii="仿宋_GB2312" w:hAnsi="仿宋_GB2312" w:eastAsia="仿宋_GB2312" w:cs="仿宋_GB2312"/>
                <w:color w:val="000000" w:themeColor="text1"/>
                <w:spacing w:val="2"/>
                <w:sz w:val="22"/>
                <w:szCs w:val="22"/>
                <w:lang w:val="en-US" w:eastAsia="zh-CN"/>
                <w14:textFill>
                  <w14:solidFill>
                    <w14:schemeClr w14:val="tx1"/>
                  </w14:solidFill>
                </w14:textFill>
              </w:rPr>
              <w:t>评标</w:t>
            </w:r>
            <w:r>
              <w:rPr>
                <w:rFonts w:hint="eastAsia" w:ascii="仿宋_GB2312" w:hAnsi="仿宋_GB2312" w:eastAsia="仿宋_GB2312" w:cs="仿宋_GB2312"/>
                <w:color w:val="000000" w:themeColor="text1"/>
                <w:spacing w:val="2"/>
                <w:sz w:val="22"/>
                <w:szCs w:val="22"/>
                <w14:textFill>
                  <w14:solidFill>
                    <w14:schemeClr w14:val="tx1"/>
                  </w14:solidFill>
                </w14:textFill>
              </w:rPr>
              <w:t>小组按以下标准进</w:t>
            </w:r>
            <w:r>
              <w:rPr>
                <w:rFonts w:hint="eastAsia" w:ascii="仿宋_GB2312" w:hAnsi="仿宋_GB2312" w:eastAsia="仿宋_GB2312" w:cs="仿宋_GB2312"/>
                <w:color w:val="000000" w:themeColor="text1"/>
                <w:sz w:val="22"/>
                <w:szCs w:val="22"/>
                <w14:textFill>
                  <w14:solidFill>
                    <w14:schemeClr w14:val="tx1"/>
                  </w14:solidFill>
                </w14:textFill>
              </w:rPr>
              <w:t>行评分：</w:t>
            </w:r>
          </w:p>
          <w:p w14:paraId="5B96646B">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12"/>
                <w:sz w:val="22"/>
                <w:szCs w:val="22"/>
                <w14:textFill>
                  <w14:solidFill>
                    <w14:schemeClr w14:val="tx1"/>
                  </w14:solidFill>
                </w14:textFill>
              </w:rPr>
              <w:t>1.绿植基地面积</w:t>
            </w:r>
            <w:r>
              <w:rPr>
                <w:rFonts w:hint="eastAsia" w:ascii="仿宋_GB2312" w:hAnsi="仿宋_GB2312" w:eastAsia="仿宋_GB2312" w:cs="仿宋_GB2312"/>
                <w:color w:val="000000" w:themeColor="text1"/>
                <w:sz w:val="22"/>
                <w:szCs w:val="22"/>
                <w14:textFill>
                  <w14:solidFill>
                    <w14:schemeClr w14:val="tx1"/>
                  </w14:solidFill>
                </w14:textFill>
              </w:rPr>
              <w:t>5</w:t>
            </w:r>
            <w:r>
              <w:rPr>
                <w:rFonts w:hint="eastAsia" w:ascii="仿宋_GB2312" w:hAnsi="仿宋_GB2312" w:eastAsia="仿宋_GB2312" w:cs="仿宋_GB2312"/>
                <w:color w:val="000000" w:themeColor="text1"/>
                <w:spacing w:val="15"/>
                <w:sz w:val="22"/>
                <w:szCs w:val="22"/>
                <w14:textFill>
                  <w14:solidFill>
                    <w14:schemeClr w14:val="tx1"/>
                  </w14:solidFill>
                </w14:textFill>
              </w:rPr>
              <w:t>亩（不含）以下的，不得分；5</w:t>
            </w:r>
            <w:r>
              <w:rPr>
                <w:rFonts w:hint="eastAsia" w:ascii="仿宋_GB2312" w:hAnsi="仿宋_GB2312" w:eastAsia="仿宋_GB2312" w:cs="仿宋_GB2312"/>
                <w:color w:val="000000" w:themeColor="text1"/>
                <w:spacing w:val="4"/>
                <w:sz w:val="22"/>
                <w:szCs w:val="22"/>
                <w14:textFill>
                  <w14:solidFill>
                    <w14:schemeClr w14:val="tx1"/>
                  </w14:solidFill>
                </w14:textFill>
              </w:rPr>
              <w:t>亩-20</w:t>
            </w:r>
            <w:r>
              <w:rPr>
                <w:rFonts w:hint="eastAsia" w:ascii="仿宋_GB2312" w:hAnsi="仿宋_GB2312" w:eastAsia="仿宋_GB2312" w:cs="仿宋_GB2312"/>
                <w:color w:val="000000" w:themeColor="text1"/>
                <w:sz w:val="22"/>
                <w:szCs w:val="22"/>
                <w14:textFill>
                  <w14:solidFill>
                    <w14:schemeClr w14:val="tx1"/>
                  </w14:solidFill>
                </w14:textFill>
              </w:rPr>
              <w:t>亩（不含）的，得4分；面积20亩及以上的，得8分；</w:t>
            </w:r>
            <w:r>
              <w:rPr>
                <w:rFonts w:hint="eastAsia" w:ascii="仿宋_GB2312" w:hAnsi="仿宋_GB2312" w:eastAsia="仿宋_GB2312" w:cs="仿宋_GB2312"/>
                <w:color w:val="000000" w:themeColor="text1"/>
                <w:spacing w:val="4"/>
                <w:sz w:val="22"/>
                <w:szCs w:val="22"/>
                <w14:textFill>
                  <w14:solidFill>
                    <w14:schemeClr w14:val="tx1"/>
                  </w14:solidFill>
                </w14:textFill>
              </w:rPr>
              <w:t>2.绿植销售实体店面，面积在</w:t>
            </w:r>
            <w:r>
              <w:rPr>
                <w:rFonts w:hint="eastAsia" w:ascii="仿宋_GB2312" w:hAnsi="仿宋_GB2312" w:eastAsia="仿宋_GB2312" w:cs="仿宋_GB2312"/>
                <w:color w:val="000000" w:themeColor="text1"/>
                <w:sz w:val="22"/>
                <w:szCs w:val="22"/>
                <w14:textFill>
                  <w14:solidFill>
                    <w14:schemeClr w14:val="tx1"/>
                  </w14:solidFill>
                </w14:textFill>
              </w:rPr>
              <w:t>50</w:t>
            </w:r>
            <w:r>
              <w:rPr>
                <w:rFonts w:hint="eastAsia" w:ascii="仿宋_GB2312" w:hAnsi="仿宋_GB2312" w:eastAsia="仿宋_GB2312" w:cs="仿宋_GB2312"/>
                <w:color w:val="000000" w:themeColor="text1"/>
                <w:spacing w:val="4"/>
                <w:sz w:val="22"/>
                <w:szCs w:val="22"/>
                <w14:textFill>
                  <w14:solidFill>
                    <w14:schemeClr w14:val="tx1"/>
                  </w14:solidFill>
                </w14:textFill>
              </w:rPr>
              <w:t>平米以下的，不得分；50</w:t>
            </w:r>
            <w:r>
              <w:rPr>
                <w:rFonts w:hint="eastAsia" w:ascii="仿宋_GB2312" w:hAnsi="仿宋_GB2312" w:eastAsia="仿宋_GB2312" w:cs="仿宋_GB2312"/>
                <w:color w:val="000000" w:themeColor="text1"/>
                <w:sz w:val="22"/>
                <w:szCs w:val="22"/>
                <w14:textFill>
                  <w14:solidFill>
                    <w14:schemeClr w14:val="tx1"/>
                  </w14:solidFill>
                </w14:textFill>
              </w:rPr>
              <w:t>平</w:t>
            </w:r>
            <w:r>
              <w:rPr>
                <w:rFonts w:hint="eastAsia" w:ascii="仿宋_GB2312" w:hAnsi="仿宋_GB2312" w:eastAsia="仿宋_GB2312" w:cs="仿宋_GB2312"/>
                <w:color w:val="000000" w:themeColor="text1"/>
                <w:spacing w:val="3"/>
                <w:sz w:val="22"/>
                <w:szCs w:val="22"/>
                <w14:textFill>
                  <w14:solidFill>
                    <w14:schemeClr w14:val="tx1"/>
                  </w14:solidFill>
                </w14:textFill>
              </w:rPr>
              <w:t>米-150</w:t>
            </w:r>
            <w:r>
              <w:rPr>
                <w:rFonts w:hint="eastAsia" w:ascii="仿宋_GB2312" w:hAnsi="仿宋_GB2312" w:eastAsia="仿宋_GB2312" w:cs="仿宋_GB2312"/>
                <w:color w:val="000000" w:themeColor="text1"/>
                <w:sz w:val="22"/>
                <w:szCs w:val="22"/>
                <w14:textFill>
                  <w14:solidFill>
                    <w14:schemeClr w14:val="tx1"/>
                  </w14:solidFill>
                </w14:textFill>
              </w:rPr>
              <w:t>平米（不含），得4</w:t>
            </w:r>
            <w:r>
              <w:rPr>
                <w:rFonts w:hint="eastAsia" w:ascii="仿宋_GB2312" w:hAnsi="仿宋_GB2312" w:eastAsia="仿宋_GB2312" w:cs="仿宋_GB2312"/>
                <w:color w:val="000000" w:themeColor="text1"/>
                <w:spacing w:val="12"/>
                <w:sz w:val="22"/>
                <w:szCs w:val="22"/>
                <w14:textFill>
                  <w14:solidFill>
                    <w14:schemeClr w14:val="tx1"/>
                  </w14:solidFill>
                </w14:textFill>
              </w:rPr>
              <w:t>分；面积在</w:t>
            </w:r>
            <w:r>
              <w:rPr>
                <w:rFonts w:hint="eastAsia" w:ascii="仿宋_GB2312" w:hAnsi="仿宋_GB2312" w:eastAsia="仿宋_GB2312" w:cs="仿宋_GB2312"/>
                <w:color w:val="000000" w:themeColor="text1"/>
                <w:sz w:val="22"/>
                <w:szCs w:val="22"/>
                <w14:textFill>
                  <w14:solidFill>
                    <w14:schemeClr w14:val="tx1"/>
                  </w14:solidFill>
                </w14:textFill>
              </w:rPr>
              <w:t>150</w:t>
            </w:r>
            <w:r>
              <w:rPr>
                <w:rFonts w:hint="eastAsia" w:ascii="仿宋_GB2312" w:hAnsi="仿宋_GB2312" w:eastAsia="仿宋_GB2312" w:cs="仿宋_GB2312"/>
                <w:color w:val="000000" w:themeColor="text1"/>
                <w:spacing w:val="12"/>
                <w:sz w:val="22"/>
                <w:szCs w:val="22"/>
                <w14:textFill>
                  <w14:solidFill>
                    <w14:schemeClr w14:val="tx1"/>
                  </w14:solidFill>
                </w14:textFill>
              </w:rPr>
              <w:t>平米以上，得</w:t>
            </w:r>
            <w:r>
              <w:rPr>
                <w:rFonts w:hint="eastAsia" w:ascii="仿宋_GB2312" w:hAnsi="仿宋_GB2312" w:eastAsia="仿宋_GB2312" w:cs="仿宋_GB2312"/>
                <w:color w:val="000000" w:themeColor="text1"/>
                <w:sz w:val="22"/>
                <w:szCs w:val="22"/>
                <w14:textFill>
                  <w14:solidFill>
                    <w14:schemeClr w14:val="tx1"/>
                  </w14:solidFill>
                </w14:textFill>
              </w:rPr>
              <w:t>8分；</w:t>
            </w:r>
            <w:r>
              <w:rPr>
                <w:rFonts w:hint="eastAsia" w:ascii="仿宋_GB2312" w:hAnsi="仿宋_GB2312" w:eastAsia="仿宋_GB2312" w:cs="仿宋_GB2312"/>
                <w:color w:val="000000" w:themeColor="text1"/>
                <w:spacing w:val="2"/>
                <w:sz w:val="22"/>
                <w:szCs w:val="22"/>
                <w14:textFill>
                  <w14:solidFill>
                    <w14:schemeClr w14:val="tx1"/>
                  </w14:solidFill>
                </w14:textFill>
              </w:rPr>
              <w:t>3.供应商拥有绿植</w:t>
            </w:r>
            <w:r>
              <w:rPr>
                <w:rFonts w:hint="eastAsia" w:ascii="仿宋_GB2312" w:hAnsi="仿宋_GB2312" w:eastAsia="仿宋_GB2312" w:cs="仿宋_GB2312"/>
                <w:color w:val="000000" w:themeColor="text1"/>
                <w:spacing w:val="2"/>
                <w:sz w:val="22"/>
                <w:szCs w:val="22"/>
                <w:lang w:val="en-US" w:eastAsia="zh-CN"/>
                <w14:textFill>
                  <w14:solidFill>
                    <w14:schemeClr w14:val="tx1"/>
                  </w14:solidFill>
                </w14:textFill>
              </w:rPr>
              <w:t>培育</w:t>
            </w:r>
            <w:r>
              <w:rPr>
                <w:rFonts w:hint="eastAsia" w:ascii="仿宋_GB2312" w:hAnsi="仿宋_GB2312" w:eastAsia="仿宋_GB2312" w:cs="仿宋_GB2312"/>
                <w:color w:val="000000" w:themeColor="text1"/>
                <w:spacing w:val="2"/>
                <w:sz w:val="22"/>
                <w:szCs w:val="22"/>
                <w14:textFill>
                  <w14:solidFill>
                    <w14:schemeClr w14:val="tx1"/>
                  </w14:solidFill>
                </w14:textFill>
              </w:rPr>
              <w:t>基地或绿植销售实体店面都予以认可，本项</w:t>
            </w:r>
            <w:r>
              <w:rPr>
                <w:rFonts w:hint="eastAsia" w:ascii="仿宋_GB2312" w:hAnsi="仿宋_GB2312" w:eastAsia="仿宋_GB2312" w:cs="仿宋_GB2312"/>
                <w:color w:val="000000" w:themeColor="text1"/>
                <w:sz w:val="22"/>
                <w:szCs w:val="22"/>
                <w14:textFill>
                  <w14:solidFill>
                    <w14:schemeClr w14:val="tx1"/>
                  </w14:solidFill>
                </w14:textFill>
              </w:rPr>
              <w:t>满分8分。</w:t>
            </w:r>
          </w:p>
          <w:p w14:paraId="4895E97E">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val="0"/>
                <w:bCs w:val="0"/>
                <w:color w:val="000000" w:themeColor="text1"/>
                <w:sz w:val="22"/>
                <w:szCs w:val="22"/>
                <w14:textFill>
                  <w14:solidFill>
                    <w14:schemeClr w14:val="tx1"/>
                  </w14:solidFill>
                </w14:textFill>
              </w:rPr>
            </w:pPr>
            <w:r>
              <w:rPr>
                <w:rFonts w:hint="eastAsia" w:ascii="仿宋_GB2312" w:hAnsi="仿宋_GB2312" w:eastAsia="仿宋_GB2312" w:cs="仿宋_GB2312"/>
                <w:b w:val="0"/>
                <w:bCs w:val="0"/>
                <w:color w:val="000000" w:themeColor="text1"/>
                <w:sz w:val="22"/>
                <w:szCs w:val="22"/>
                <w14:textFill>
                  <w14:solidFill>
                    <w14:schemeClr w14:val="tx1"/>
                  </w14:solidFill>
                </w14:textFill>
              </w:rPr>
              <w:t>注：</w:t>
            </w:r>
          </w:p>
          <w:p w14:paraId="12AC4BFF">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pacing w:val="6"/>
                <w:sz w:val="22"/>
                <w:szCs w:val="22"/>
                <w14:textFill>
                  <w14:solidFill>
                    <w14:schemeClr w14:val="tx1"/>
                  </w14:solidFill>
                </w14:textFill>
              </w:rPr>
              <w:t>（1）如为供应商自有绿植基地的，响应文件中提供证明材料</w:t>
            </w:r>
            <w:r>
              <w:rPr>
                <w:rFonts w:hint="eastAsia" w:ascii="仿宋_GB2312" w:hAnsi="仿宋_GB2312" w:eastAsia="仿宋_GB2312" w:cs="仿宋_GB2312"/>
                <w:b/>
                <w:bCs/>
                <w:color w:val="000000" w:themeColor="text1"/>
                <w:spacing w:val="-5"/>
                <w:sz w:val="22"/>
                <w:szCs w:val="22"/>
                <w14:textFill>
                  <w14:solidFill>
                    <w14:schemeClr w14:val="tx1"/>
                  </w14:solidFill>
                </w14:textFill>
              </w:rPr>
              <w:t>扫描件（须体现绿植基地面积），未提供不得分；</w:t>
            </w:r>
          </w:p>
          <w:p w14:paraId="72B12474">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pacing w:val="6"/>
                <w:sz w:val="22"/>
                <w:szCs w:val="22"/>
                <w14:textFill>
                  <w14:solidFill>
                    <w14:schemeClr w14:val="tx1"/>
                  </w14:solidFill>
                </w14:textFill>
              </w:rPr>
              <w:t>（2）如为供应商租赁的，响应文件中提供租赁协议（须体现</w:t>
            </w:r>
            <w:r>
              <w:rPr>
                <w:rFonts w:hint="eastAsia" w:ascii="仿宋_GB2312" w:hAnsi="仿宋_GB2312" w:eastAsia="仿宋_GB2312" w:cs="仿宋_GB2312"/>
                <w:b/>
                <w:bCs/>
                <w:color w:val="000000" w:themeColor="text1"/>
                <w:spacing w:val="-8"/>
                <w:sz w:val="22"/>
                <w:szCs w:val="22"/>
                <w14:textFill>
                  <w14:solidFill>
                    <w14:schemeClr w14:val="tx1"/>
                  </w14:solidFill>
                </w14:textFill>
              </w:rPr>
              <w:t>绿植基地面积），未提供不得分；</w:t>
            </w:r>
          </w:p>
          <w:p w14:paraId="1EABBAD7">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pacing w:val="6"/>
                <w:sz w:val="22"/>
                <w:szCs w:val="22"/>
                <w14:textFill>
                  <w14:solidFill>
                    <w14:schemeClr w14:val="tx1"/>
                  </w14:solidFill>
                </w14:textFill>
              </w:rPr>
              <w:t>（3）如为供应商自有绿植销售实体店面，需提供实体店面的</w:t>
            </w:r>
            <w:r>
              <w:rPr>
                <w:rFonts w:hint="eastAsia" w:ascii="仿宋_GB2312" w:hAnsi="仿宋_GB2312" w:eastAsia="仿宋_GB2312" w:cs="仿宋_GB2312"/>
                <w:b/>
                <w:bCs/>
                <w:color w:val="000000" w:themeColor="text1"/>
                <w:spacing w:val="2"/>
                <w:sz w:val="22"/>
                <w:szCs w:val="22"/>
                <w14:textFill>
                  <w14:solidFill>
                    <w14:schemeClr w14:val="tx1"/>
                  </w14:solidFill>
                </w14:textFill>
              </w:rPr>
              <w:t>房产证或所有权证明文件或服务期内有效的房屋租赁合同、房</w:t>
            </w:r>
            <w:r>
              <w:rPr>
                <w:rFonts w:hint="eastAsia" w:ascii="仿宋_GB2312" w:hAnsi="仿宋_GB2312" w:eastAsia="仿宋_GB2312" w:cs="仿宋_GB2312"/>
                <w:b/>
                <w:bCs/>
                <w:color w:val="000000" w:themeColor="text1"/>
                <w:sz w:val="22"/>
                <w:szCs w:val="22"/>
                <w14:textFill>
                  <w14:solidFill>
                    <w14:schemeClr w14:val="tx1"/>
                  </w14:solidFill>
                </w14:textFill>
              </w:rPr>
              <w:t>产证、租赁费用发票扫描件等相关证明材料；</w:t>
            </w:r>
          </w:p>
          <w:p w14:paraId="30BA11AB">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kern w:val="2"/>
                <w:sz w:val="22"/>
                <w:szCs w:val="22"/>
                <w:lang w:val="en-US" w:eastAsia="zh-CN" w:bidi="ar-SA"/>
                <w14:textFill>
                  <w14:solidFill>
                    <w14:schemeClr w14:val="tx1"/>
                  </w14:solidFill>
                </w14:textFill>
              </w:rPr>
            </w:pPr>
            <w:r>
              <w:rPr>
                <w:rFonts w:hint="eastAsia" w:ascii="仿宋_GB2312" w:hAnsi="仿宋_GB2312" w:eastAsia="仿宋_GB2312" w:cs="仿宋_GB2312"/>
                <w:b/>
                <w:bCs/>
                <w:color w:val="000000" w:themeColor="text1"/>
                <w:spacing w:val="6"/>
                <w:sz w:val="22"/>
                <w:szCs w:val="22"/>
                <w14:textFill>
                  <w14:solidFill>
                    <w14:schemeClr w14:val="tx1"/>
                  </w14:solidFill>
                </w14:textFill>
              </w:rPr>
              <w:t>（4）采购人保留在合同签订前对基地和店面进行实地考察核</w:t>
            </w:r>
            <w:r>
              <w:rPr>
                <w:rFonts w:hint="eastAsia" w:ascii="仿宋_GB2312" w:hAnsi="仿宋_GB2312" w:eastAsia="仿宋_GB2312" w:cs="仿宋_GB2312"/>
                <w:b/>
                <w:bCs/>
                <w:color w:val="000000" w:themeColor="text1"/>
                <w:spacing w:val="2"/>
                <w:sz w:val="22"/>
                <w:szCs w:val="22"/>
                <w14:textFill>
                  <w14:solidFill>
                    <w14:schemeClr w14:val="tx1"/>
                  </w14:solidFill>
                </w14:textFill>
              </w:rPr>
              <w:t>实的权利，若不符合要求或提供虚假材料，采购人有权取消其</w:t>
            </w:r>
            <w:r>
              <w:rPr>
                <w:rFonts w:hint="eastAsia" w:ascii="仿宋_GB2312" w:hAnsi="仿宋_GB2312" w:eastAsia="仿宋_GB2312" w:cs="仿宋_GB2312"/>
                <w:b/>
                <w:bCs/>
                <w:color w:val="000000" w:themeColor="text1"/>
                <w:sz w:val="22"/>
                <w:szCs w:val="22"/>
                <w14:textFill>
                  <w14:solidFill>
                    <w14:schemeClr w14:val="tx1"/>
                  </w14:solidFill>
                </w14:textFill>
              </w:rPr>
              <w:t>成交资格，给采购人造成的损失全部由供应商承担。</w:t>
            </w:r>
          </w:p>
        </w:tc>
        <w:tc>
          <w:tcPr>
            <w:tcW w:w="1122" w:type="dxa"/>
            <w:tcBorders>
              <w:tl2br w:val="nil"/>
              <w:tr2bl w:val="nil"/>
            </w:tcBorders>
            <w:noWrap w:val="0"/>
            <w:vAlign w:val="center"/>
          </w:tcPr>
          <w:p w14:paraId="794A8F4C">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kern w:val="2"/>
                <w:sz w:val="22"/>
                <w:szCs w:val="22"/>
                <w:lang w:val="en-US" w:eastAsia="zh-CN" w:bidi="ar-SA"/>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0-8分</w:t>
            </w:r>
          </w:p>
        </w:tc>
      </w:tr>
      <w:tr w14:paraId="53D9A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886" w:type="dxa"/>
            <w:vMerge w:val="continue"/>
            <w:tcBorders>
              <w:tl2br w:val="nil"/>
              <w:tr2bl w:val="nil"/>
            </w:tcBorders>
            <w:noWrap w:val="0"/>
            <w:vAlign w:val="top"/>
          </w:tcPr>
          <w:p w14:paraId="080EF6BE">
            <w:pPr>
              <w:keepNext w:val="0"/>
              <w:keepLines w:val="0"/>
              <w:pageBreakBefore w:val="0"/>
              <w:widowControl w:val="0"/>
              <w:kinsoku/>
              <w:wordWrap/>
              <w:overflowPunct/>
              <w:topLinePunct w:val="0"/>
              <w:autoSpaceDE/>
              <w:autoSpaceDN/>
              <w:bidi w:val="0"/>
              <w:adjustRightInd/>
              <w:snapToGrid/>
              <w:spacing w:line="320" w:lineRule="exact"/>
              <w:ind w:left="0" w:right="0"/>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c>
          <w:tcPr>
            <w:tcW w:w="1956" w:type="dxa"/>
            <w:tcBorders>
              <w:tl2br w:val="nil"/>
              <w:tr2bl w:val="nil"/>
            </w:tcBorders>
            <w:noWrap w:val="0"/>
            <w:vAlign w:val="center"/>
          </w:tcPr>
          <w:p w14:paraId="37D47E81">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总体服务方案</w:t>
            </w:r>
          </w:p>
        </w:tc>
        <w:tc>
          <w:tcPr>
            <w:tcW w:w="5710" w:type="dxa"/>
            <w:tcBorders>
              <w:tl2br w:val="nil"/>
              <w:tr2bl w:val="nil"/>
            </w:tcBorders>
            <w:noWrap w:val="0"/>
            <w:vAlign w:val="top"/>
          </w:tcPr>
          <w:p w14:paraId="577992A8">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供应商提供的总体服务方案应包含以下内容：</w:t>
            </w:r>
          </w:p>
          <w:p w14:paraId="43AC400E">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1.绿植供应及运输方案（0-5</w:t>
            </w:r>
            <w:r>
              <w:rPr>
                <w:rFonts w:hint="eastAsia" w:ascii="仿宋_GB2312" w:hAnsi="仿宋_GB2312" w:eastAsia="仿宋_GB2312" w:cs="仿宋_GB2312"/>
                <w:color w:val="000000" w:themeColor="text1"/>
                <w:spacing w:val="-37"/>
                <w:sz w:val="22"/>
                <w:szCs w:val="22"/>
                <w14:textFill>
                  <w14:solidFill>
                    <w14:schemeClr w14:val="tx1"/>
                  </w14:solidFill>
                </w14:textFill>
              </w:rPr>
              <w:t>分）；</w:t>
            </w:r>
          </w:p>
          <w:p w14:paraId="2ACFEAE2">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2.绿植病虫害防治方案（0-5</w:t>
            </w:r>
            <w:r>
              <w:rPr>
                <w:rFonts w:hint="eastAsia" w:ascii="仿宋_GB2312" w:hAnsi="仿宋_GB2312" w:eastAsia="仿宋_GB2312" w:cs="仿宋_GB2312"/>
                <w:color w:val="000000" w:themeColor="text1"/>
                <w:spacing w:val="-37"/>
                <w:sz w:val="22"/>
                <w:szCs w:val="22"/>
                <w14:textFill>
                  <w14:solidFill>
                    <w14:schemeClr w14:val="tx1"/>
                  </w14:solidFill>
                </w14:textFill>
              </w:rPr>
              <w:t>分）；</w:t>
            </w:r>
          </w:p>
          <w:p w14:paraId="58FBCCC4">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3.养护人员管理与考核方案（0-5</w:t>
            </w:r>
            <w:r>
              <w:rPr>
                <w:rFonts w:hint="eastAsia" w:ascii="仿宋_GB2312" w:hAnsi="仿宋_GB2312" w:eastAsia="仿宋_GB2312" w:cs="仿宋_GB2312"/>
                <w:color w:val="000000" w:themeColor="text1"/>
                <w:spacing w:val="-37"/>
                <w:sz w:val="22"/>
                <w:szCs w:val="22"/>
                <w14:textFill>
                  <w14:solidFill>
                    <w14:schemeClr w14:val="tx1"/>
                  </w14:solidFill>
                </w14:textFill>
              </w:rPr>
              <w:t>分）；</w:t>
            </w:r>
          </w:p>
          <w:p w14:paraId="69612F50">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4.按季节调整方案（0-5</w:t>
            </w:r>
            <w:r>
              <w:rPr>
                <w:rFonts w:hint="eastAsia" w:ascii="仿宋_GB2312" w:hAnsi="仿宋_GB2312" w:eastAsia="仿宋_GB2312" w:cs="仿宋_GB2312"/>
                <w:color w:val="000000" w:themeColor="text1"/>
                <w:spacing w:val="-37"/>
                <w:sz w:val="22"/>
                <w:szCs w:val="22"/>
                <w14:textFill>
                  <w14:solidFill>
                    <w14:schemeClr w14:val="tx1"/>
                  </w14:solidFill>
                </w14:textFill>
              </w:rPr>
              <w:t>分）。</w:t>
            </w:r>
            <w:r>
              <w:rPr>
                <w:rFonts w:hint="eastAsia" w:ascii="仿宋_GB2312" w:hAnsi="仿宋_GB2312" w:eastAsia="仿宋_GB2312" w:cs="仿宋_GB2312"/>
                <w:color w:val="000000" w:themeColor="text1"/>
                <w:spacing w:val="-37"/>
                <w:sz w:val="22"/>
                <w:szCs w:val="22"/>
                <w:lang w:val="en-US" w:eastAsia="zh-CN"/>
                <w14:textFill>
                  <w14:solidFill>
                    <w14:schemeClr w14:val="tx1"/>
                  </w14:solidFill>
                </w14:textFill>
              </w:rPr>
              <w:t>评标</w:t>
            </w:r>
            <w:r>
              <w:rPr>
                <w:rFonts w:hint="eastAsia" w:ascii="仿宋_GB2312" w:hAnsi="仿宋_GB2312" w:eastAsia="仿宋_GB2312" w:cs="仿宋_GB2312"/>
                <w:color w:val="000000" w:themeColor="text1"/>
                <w:sz w:val="22"/>
                <w:szCs w:val="22"/>
                <w14:textFill>
                  <w14:solidFill>
                    <w14:schemeClr w14:val="tx1"/>
                  </w14:solidFill>
                </w14:textFill>
              </w:rPr>
              <w:t>小组对各供应商提供的方案进行逐项评审：</w:t>
            </w:r>
          </w:p>
          <w:p w14:paraId="56A499EB">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（1）方案完整详细，可行性、实用性、针对性强，得5分；</w:t>
            </w:r>
          </w:p>
          <w:p w14:paraId="29608D63">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6"/>
                <w:sz w:val="22"/>
                <w:szCs w:val="22"/>
                <w14:textFill>
                  <w14:solidFill>
                    <w14:schemeClr w14:val="tx1"/>
                  </w14:solidFill>
                </w14:textFill>
              </w:rPr>
              <w:t>（2）方案适合本项目采购需求，完整详细，具有可行性、实</w:t>
            </w:r>
            <w:r>
              <w:rPr>
                <w:rFonts w:hint="eastAsia" w:ascii="仿宋_GB2312" w:hAnsi="仿宋_GB2312" w:eastAsia="仿宋_GB2312" w:cs="仿宋_GB2312"/>
                <w:color w:val="000000" w:themeColor="text1"/>
                <w:sz w:val="22"/>
                <w:szCs w:val="22"/>
                <w14:textFill>
                  <w14:solidFill>
                    <w14:schemeClr w14:val="tx1"/>
                  </w14:solidFill>
                </w14:textFill>
              </w:rPr>
              <w:t>用性和针对性，得3分；</w:t>
            </w:r>
          </w:p>
          <w:p w14:paraId="6825CCBF">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6"/>
                <w:sz w:val="22"/>
                <w:szCs w:val="22"/>
                <w14:textFill>
                  <w14:solidFill>
                    <w14:schemeClr w14:val="tx1"/>
                  </w14:solidFill>
                </w14:textFill>
              </w:rPr>
              <w:t>（3）方案基本适合本项目采购需求，可行性、实用性和针对</w:t>
            </w:r>
            <w:r>
              <w:rPr>
                <w:rFonts w:hint="eastAsia" w:ascii="仿宋_GB2312" w:hAnsi="仿宋_GB2312" w:eastAsia="仿宋_GB2312" w:cs="仿宋_GB2312"/>
                <w:color w:val="000000" w:themeColor="text1"/>
                <w:sz w:val="22"/>
                <w:szCs w:val="22"/>
                <w14:textFill>
                  <w14:solidFill>
                    <w14:schemeClr w14:val="tx1"/>
                  </w14:solidFill>
                </w14:textFill>
              </w:rPr>
              <w:t>性有待改善，得1分；</w:t>
            </w:r>
          </w:p>
          <w:p w14:paraId="0A342C54">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pacing w:val="6"/>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（4）方案不可行或未提供不得分。</w:t>
            </w:r>
          </w:p>
        </w:tc>
        <w:tc>
          <w:tcPr>
            <w:tcW w:w="1122" w:type="dxa"/>
            <w:tcBorders>
              <w:tl2br w:val="nil"/>
              <w:tr2bl w:val="nil"/>
            </w:tcBorders>
            <w:noWrap w:val="0"/>
            <w:vAlign w:val="center"/>
          </w:tcPr>
          <w:p w14:paraId="76CB502A">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0-20分</w:t>
            </w:r>
          </w:p>
        </w:tc>
      </w:tr>
      <w:tr w14:paraId="58BA1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886" w:type="dxa"/>
            <w:vMerge w:val="continue"/>
            <w:tcBorders>
              <w:tl2br w:val="nil"/>
              <w:tr2bl w:val="nil"/>
            </w:tcBorders>
            <w:noWrap w:val="0"/>
            <w:vAlign w:val="top"/>
          </w:tcPr>
          <w:p w14:paraId="48814C33">
            <w:pPr>
              <w:keepNext w:val="0"/>
              <w:keepLines w:val="0"/>
              <w:pageBreakBefore w:val="0"/>
              <w:widowControl w:val="0"/>
              <w:kinsoku/>
              <w:wordWrap/>
              <w:overflowPunct/>
              <w:topLinePunct w:val="0"/>
              <w:autoSpaceDE/>
              <w:autoSpaceDN/>
              <w:bidi w:val="0"/>
              <w:adjustRightInd/>
              <w:snapToGrid/>
              <w:spacing w:line="320" w:lineRule="exact"/>
              <w:ind w:left="0" w:right="0"/>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c>
          <w:tcPr>
            <w:tcW w:w="1956" w:type="dxa"/>
            <w:tcBorders>
              <w:tl2br w:val="nil"/>
              <w:tr2bl w:val="nil"/>
            </w:tcBorders>
            <w:noWrap w:val="0"/>
            <w:vAlign w:val="center"/>
          </w:tcPr>
          <w:p w14:paraId="65D9AFA5">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设计方案</w:t>
            </w:r>
          </w:p>
        </w:tc>
        <w:tc>
          <w:tcPr>
            <w:tcW w:w="5710" w:type="dxa"/>
            <w:tcBorders>
              <w:tl2br w:val="nil"/>
              <w:tr2bl w:val="nil"/>
            </w:tcBorders>
            <w:noWrap w:val="0"/>
            <w:vAlign w:val="top"/>
          </w:tcPr>
          <w:p w14:paraId="5CD5D3E9">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供应商提供的设计方案应包含以下方面：</w:t>
            </w:r>
          </w:p>
          <w:p w14:paraId="08D42386">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pacing w:val="-37"/>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重大节日及重大活动绿化美化方案（0-</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8</w:t>
            </w:r>
            <w:r>
              <w:rPr>
                <w:rFonts w:hint="eastAsia" w:ascii="仿宋_GB2312" w:hAnsi="仿宋_GB2312" w:eastAsia="仿宋_GB2312" w:cs="仿宋_GB2312"/>
                <w:color w:val="000000" w:themeColor="text1"/>
                <w:spacing w:val="-37"/>
                <w:sz w:val="22"/>
                <w:szCs w:val="22"/>
                <w14:textFill>
                  <w14:solidFill>
                    <w14:schemeClr w14:val="tx1"/>
                  </w14:solidFill>
                </w14:textFill>
              </w:rPr>
              <w:t>分）。</w:t>
            </w:r>
          </w:p>
          <w:p w14:paraId="4F9F9AFA">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评标</w:t>
            </w:r>
            <w:r>
              <w:rPr>
                <w:rFonts w:hint="eastAsia" w:ascii="仿宋_GB2312" w:hAnsi="仿宋_GB2312" w:eastAsia="仿宋_GB2312" w:cs="仿宋_GB2312"/>
                <w:color w:val="000000" w:themeColor="text1"/>
                <w:sz w:val="22"/>
                <w:szCs w:val="22"/>
                <w14:textFill>
                  <w14:solidFill>
                    <w14:schemeClr w14:val="tx1"/>
                  </w14:solidFill>
                </w14:textFill>
              </w:rPr>
              <w:t>小组对各供应商提供的方案进行逐项评审：</w:t>
            </w:r>
          </w:p>
          <w:p w14:paraId="65963905">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1</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w:t>
            </w:r>
            <w:r>
              <w:rPr>
                <w:rFonts w:hint="eastAsia" w:ascii="仿宋_GB2312" w:hAnsi="仿宋_GB2312" w:eastAsia="仿宋_GB2312" w:cs="仿宋_GB2312"/>
                <w:color w:val="000000" w:themeColor="text1"/>
                <w:sz w:val="22"/>
                <w:szCs w:val="22"/>
                <w14:textFill>
                  <w14:solidFill>
                    <w14:schemeClr w14:val="tx1"/>
                  </w14:solidFill>
                </w14:textFill>
              </w:rPr>
              <w:t>方案完整详细，可行性、实用性、针对性强，得</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8</w:t>
            </w:r>
            <w:r>
              <w:rPr>
                <w:rFonts w:hint="eastAsia" w:ascii="仿宋_GB2312" w:hAnsi="仿宋_GB2312" w:eastAsia="仿宋_GB2312" w:cs="仿宋_GB2312"/>
                <w:color w:val="000000" w:themeColor="text1"/>
                <w:sz w:val="22"/>
                <w:szCs w:val="22"/>
                <w14:textFill>
                  <w14:solidFill>
                    <w14:schemeClr w14:val="tx1"/>
                  </w14:solidFill>
                </w14:textFill>
              </w:rPr>
              <w:t>分；</w:t>
            </w:r>
          </w:p>
          <w:p w14:paraId="5D593C6F">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7"/>
                <w:sz w:val="22"/>
                <w:szCs w:val="22"/>
                <w:lang w:val="en-US" w:eastAsia="zh-CN"/>
                <w14:textFill>
                  <w14:solidFill>
                    <w14:schemeClr w14:val="tx1"/>
                  </w14:solidFill>
                </w14:textFill>
              </w:rPr>
              <w:t>2.</w:t>
            </w:r>
            <w:r>
              <w:rPr>
                <w:rFonts w:hint="eastAsia" w:ascii="仿宋_GB2312" w:hAnsi="仿宋_GB2312" w:eastAsia="仿宋_GB2312" w:cs="仿宋_GB2312"/>
                <w:color w:val="000000" w:themeColor="text1"/>
                <w:spacing w:val="7"/>
                <w:sz w:val="22"/>
                <w:szCs w:val="22"/>
                <w14:textFill>
                  <w14:solidFill>
                    <w14:schemeClr w14:val="tx1"/>
                  </w14:solidFill>
                </w14:textFill>
              </w:rPr>
              <w:t>方案适合本项目采购需求，完整详细，具有可行性、实</w:t>
            </w:r>
            <w:r>
              <w:rPr>
                <w:rFonts w:hint="eastAsia" w:ascii="仿宋_GB2312" w:hAnsi="仿宋_GB2312" w:eastAsia="仿宋_GB2312" w:cs="仿宋_GB2312"/>
                <w:color w:val="000000" w:themeColor="text1"/>
                <w:sz w:val="22"/>
                <w:szCs w:val="22"/>
                <w14:textFill>
                  <w14:solidFill>
                    <w14:schemeClr w14:val="tx1"/>
                  </w14:solidFill>
                </w14:textFill>
              </w:rPr>
              <w:t>用性和针对性，得</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5</w:t>
            </w:r>
            <w:r>
              <w:rPr>
                <w:rFonts w:hint="eastAsia" w:ascii="仿宋_GB2312" w:hAnsi="仿宋_GB2312" w:eastAsia="仿宋_GB2312" w:cs="仿宋_GB2312"/>
                <w:color w:val="000000" w:themeColor="text1"/>
                <w:sz w:val="22"/>
                <w:szCs w:val="22"/>
                <w14:textFill>
                  <w14:solidFill>
                    <w14:schemeClr w14:val="tx1"/>
                  </w14:solidFill>
                </w14:textFill>
              </w:rPr>
              <w:t>分；</w:t>
            </w:r>
          </w:p>
          <w:p w14:paraId="1096B5D2">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7"/>
                <w:sz w:val="22"/>
                <w:szCs w:val="22"/>
                <w14:textFill>
                  <w14:solidFill>
                    <w14:schemeClr w14:val="tx1"/>
                  </w14:solidFill>
                </w14:textFill>
              </w:rPr>
              <w:t>3</w:t>
            </w:r>
            <w:r>
              <w:rPr>
                <w:rFonts w:hint="eastAsia" w:ascii="仿宋_GB2312" w:hAnsi="仿宋_GB2312" w:eastAsia="仿宋_GB2312" w:cs="仿宋_GB2312"/>
                <w:color w:val="000000" w:themeColor="text1"/>
                <w:spacing w:val="7"/>
                <w:sz w:val="22"/>
                <w:szCs w:val="22"/>
                <w:lang w:val="en-US" w:eastAsia="zh-CN"/>
                <w14:textFill>
                  <w14:solidFill>
                    <w14:schemeClr w14:val="tx1"/>
                  </w14:solidFill>
                </w14:textFill>
              </w:rPr>
              <w:t>.</w:t>
            </w:r>
            <w:r>
              <w:rPr>
                <w:rFonts w:hint="eastAsia" w:ascii="仿宋_GB2312" w:hAnsi="仿宋_GB2312" w:eastAsia="仿宋_GB2312" w:cs="仿宋_GB2312"/>
                <w:color w:val="000000" w:themeColor="text1"/>
                <w:spacing w:val="7"/>
                <w:sz w:val="22"/>
                <w:szCs w:val="22"/>
                <w14:textFill>
                  <w14:solidFill>
                    <w14:schemeClr w14:val="tx1"/>
                  </w14:solidFill>
                </w14:textFill>
              </w:rPr>
              <w:t>方案基本适合本项目采购需求，可行性、实用性和针对</w:t>
            </w:r>
            <w:r>
              <w:rPr>
                <w:rFonts w:hint="eastAsia" w:ascii="仿宋_GB2312" w:hAnsi="仿宋_GB2312" w:eastAsia="仿宋_GB2312" w:cs="仿宋_GB2312"/>
                <w:color w:val="000000" w:themeColor="text1"/>
                <w:sz w:val="22"/>
                <w:szCs w:val="22"/>
                <w14:textFill>
                  <w14:solidFill>
                    <w14:schemeClr w14:val="tx1"/>
                  </w14:solidFill>
                </w14:textFill>
              </w:rPr>
              <w:t>性有待改善，得</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3</w:t>
            </w:r>
            <w:r>
              <w:rPr>
                <w:rFonts w:hint="eastAsia" w:ascii="仿宋_GB2312" w:hAnsi="仿宋_GB2312" w:eastAsia="仿宋_GB2312" w:cs="仿宋_GB2312"/>
                <w:color w:val="000000" w:themeColor="text1"/>
                <w:sz w:val="22"/>
                <w:szCs w:val="22"/>
                <w14:textFill>
                  <w14:solidFill>
                    <w14:schemeClr w14:val="tx1"/>
                  </w14:solidFill>
                </w14:textFill>
              </w:rPr>
              <w:t>分；</w:t>
            </w:r>
          </w:p>
          <w:p w14:paraId="585AEE5A">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4</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w:t>
            </w:r>
            <w:r>
              <w:rPr>
                <w:rFonts w:hint="eastAsia" w:ascii="仿宋_GB2312" w:hAnsi="仿宋_GB2312" w:eastAsia="仿宋_GB2312" w:cs="仿宋_GB2312"/>
                <w:color w:val="000000" w:themeColor="text1"/>
                <w:sz w:val="22"/>
                <w:szCs w:val="22"/>
                <w14:textFill>
                  <w14:solidFill>
                    <w14:schemeClr w14:val="tx1"/>
                  </w14:solidFill>
                </w14:textFill>
              </w:rPr>
              <w:t>方案不可行或未提供不得分。</w:t>
            </w:r>
          </w:p>
        </w:tc>
        <w:tc>
          <w:tcPr>
            <w:tcW w:w="1122" w:type="dxa"/>
            <w:tcBorders>
              <w:tl2br w:val="nil"/>
              <w:tr2bl w:val="nil"/>
            </w:tcBorders>
            <w:noWrap w:val="0"/>
            <w:vAlign w:val="center"/>
          </w:tcPr>
          <w:p w14:paraId="1E5FA404">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8</w:t>
            </w:r>
            <w:r>
              <w:rPr>
                <w:rFonts w:hint="eastAsia" w:ascii="仿宋_GB2312" w:hAnsi="仿宋_GB2312" w:eastAsia="仿宋_GB2312" w:cs="仿宋_GB2312"/>
                <w:color w:val="000000" w:themeColor="text1"/>
                <w:sz w:val="22"/>
                <w:szCs w:val="22"/>
                <w14:textFill>
                  <w14:solidFill>
                    <w14:schemeClr w14:val="tx1"/>
                  </w14:solidFill>
                </w14:textFill>
              </w:rPr>
              <w:t>分</w:t>
            </w:r>
          </w:p>
        </w:tc>
      </w:tr>
      <w:tr w14:paraId="7E682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886" w:type="dxa"/>
            <w:vMerge w:val="continue"/>
            <w:tcBorders>
              <w:tl2br w:val="nil"/>
              <w:tr2bl w:val="nil"/>
            </w:tcBorders>
            <w:noWrap w:val="0"/>
            <w:vAlign w:val="top"/>
          </w:tcPr>
          <w:p w14:paraId="5EE5CAE0">
            <w:pPr>
              <w:keepNext w:val="0"/>
              <w:keepLines w:val="0"/>
              <w:pageBreakBefore w:val="0"/>
              <w:widowControl w:val="0"/>
              <w:kinsoku/>
              <w:wordWrap/>
              <w:overflowPunct/>
              <w:topLinePunct w:val="0"/>
              <w:autoSpaceDE/>
              <w:autoSpaceDN/>
              <w:bidi w:val="0"/>
              <w:adjustRightInd/>
              <w:snapToGrid/>
              <w:spacing w:line="320" w:lineRule="exact"/>
              <w:ind w:left="0" w:right="0"/>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c>
          <w:tcPr>
            <w:tcW w:w="1956" w:type="dxa"/>
            <w:tcBorders>
              <w:tl2br w:val="nil"/>
              <w:tr2bl w:val="nil"/>
            </w:tcBorders>
            <w:noWrap w:val="0"/>
            <w:vAlign w:val="center"/>
          </w:tcPr>
          <w:p w14:paraId="42F1652E">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绿植养护方案</w:t>
            </w:r>
          </w:p>
        </w:tc>
        <w:tc>
          <w:tcPr>
            <w:tcW w:w="5710" w:type="dxa"/>
            <w:tcBorders>
              <w:tl2br w:val="nil"/>
              <w:tr2bl w:val="nil"/>
            </w:tcBorders>
            <w:noWrap w:val="0"/>
            <w:vAlign w:val="top"/>
          </w:tcPr>
          <w:p w14:paraId="7D07425D">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11"/>
                <w:sz w:val="22"/>
                <w:szCs w:val="22"/>
                <w:lang w:val="en-US" w:eastAsia="zh-CN"/>
                <w14:textFill>
                  <w14:solidFill>
                    <w14:schemeClr w14:val="tx1"/>
                  </w14:solidFill>
                </w14:textFill>
              </w:rPr>
              <w:t>评标</w:t>
            </w:r>
            <w:r>
              <w:rPr>
                <w:rFonts w:hint="eastAsia" w:ascii="仿宋_GB2312" w:hAnsi="仿宋_GB2312" w:eastAsia="仿宋_GB2312" w:cs="仿宋_GB2312"/>
                <w:color w:val="000000" w:themeColor="text1"/>
                <w:spacing w:val="11"/>
                <w:sz w:val="22"/>
                <w:szCs w:val="22"/>
                <w14:textFill>
                  <w14:solidFill>
                    <w14:schemeClr w14:val="tx1"/>
                  </w14:solidFill>
                </w14:textFill>
              </w:rPr>
              <w:t>小组根据各响应供应商提供的绿植养护方案进行综合评</w:t>
            </w:r>
            <w:r>
              <w:rPr>
                <w:rFonts w:hint="eastAsia" w:ascii="仿宋_GB2312" w:hAnsi="仿宋_GB2312" w:eastAsia="仿宋_GB2312" w:cs="仿宋_GB2312"/>
                <w:color w:val="000000" w:themeColor="text1"/>
                <w:sz w:val="22"/>
                <w:szCs w:val="22"/>
                <w14:textFill>
                  <w14:solidFill>
                    <w14:schemeClr w14:val="tx1"/>
                  </w14:solidFill>
                </w14:textFill>
              </w:rPr>
              <w:t>审：</w:t>
            </w:r>
          </w:p>
          <w:p w14:paraId="390870E9">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1.方案完整详细，可行性、实用性、针对性强，得</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8</w:t>
            </w:r>
            <w:r>
              <w:rPr>
                <w:rFonts w:hint="eastAsia" w:ascii="仿宋_GB2312" w:hAnsi="仿宋_GB2312" w:eastAsia="仿宋_GB2312" w:cs="仿宋_GB2312"/>
                <w:color w:val="000000" w:themeColor="text1"/>
                <w:sz w:val="22"/>
                <w:szCs w:val="22"/>
                <w14:textFill>
                  <w14:solidFill>
                    <w14:schemeClr w14:val="tx1"/>
                  </w14:solidFill>
                </w14:textFill>
              </w:rPr>
              <w:t>分；</w:t>
            </w:r>
          </w:p>
          <w:p w14:paraId="16D2C5C1">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2"/>
                <w:sz w:val="22"/>
                <w:szCs w:val="22"/>
                <w14:textFill>
                  <w14:solidFill>
                    <w14:schemeClr w14:val="tx1"/>
                  </w14:solidFill>
                </w14:textFill>
              </w:rPr>
              <w:t>2.方案适合本项目采购需求，完整详细，具有可行性、实用性</w:t>
            </w:r>
            <w:r>
              <w:rPr>
                <w:rFonts w:hint="eastAsia" w:ascii="仿宋_GB2312" w:hAnsi="仿宋_GB2312" w:eastAsia="仿宋_GB2312" w:cs="仿宋_GB2312"/>
                <w:color w:val="000000" w:themeColor="text1"/>
                <w:sz w:val="22"/>
                <w:szCs w:val="22"/>
                <w14:textFill>
                  <w14:solidFill>
                    <w14:schemeClr w14:val="tx1"/>
                  </w14:solidFill>
                </w14:textFill>
              </w:rPr>
              <w:t>和针对性，得</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5</w:t>
            </w:r>
            <w:r>
              <w:rPr>
                <w:rFonts w:hint="eastAsia" w:ascii="仿宋_GB2312" w:hAnsi="仿宋_GB2312" w:eastAsia="仿宋_GB2312" w:cs="仿宋_GB2312"/>
                <w:color w:val="000000" w:themeColor="text1"/>
                <w:sz w:val="22"/>
                <w:szCs w:val="22"/>
                <w14:textFill>
                  <w14:solidFill>
                    <w14:schemeClr w14:val="tx1"/>
                  </w14:solidFill>
                </w14:textFill>
              </w:rPr>
              <w:t>分；</w:t>
            </w:r>
          </w:p>
          <w:p w14:paraId="7B8038B3">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2"/>
                <w:sz w:val="22"/>
                <w:szCs w:val="22"/>
                <w14:textFill>
                  <w14:solidFill>
                    <w14:schemeClr w14:val="tx1"/>
                  </w14:solidFill>
                </w14:textFill>
              </w:rPr>
              <w:t>3.方案基本适合本项目采购需求，可行性、实用性和针对性有</w:t>
            </w:r>
            <w:r>
              <w:rPr>
                <w:rFonts w:hint="eastAsia" w:ascii="仿宋_GB2312" w:hAnsi="仿宋_GB2312" w:eastAsia="仿宋_GB2312" w:cs="仿宋_GB2312"/>
                <w:color w:val="000000" w:themeColor="text1"/>
                <w:sz w:val="22"/>
                <w:szCs w:val="22"/>
                <w14:textFill>
                  <w14:solidFill>
                    <w14:schemeClr w14:val="tx1"/>
                  </w14:solidFill>
                </w14:textFill>
              </w:rPr>
              <w:t>待改善，得</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3</w:t>
            </w:r>
            <w:r>
              <w:rPr>
                <w:rFonts w:hint="eastAsia" w:ascii="仿宋_GB2312" w:hAnsi="仿宋_GB2312" w:eastAsia="仿宋_GB2312" w:cs="仿宋_GB2312"/>
                <w:color w:val="000000" w:themeColor="text1"/>
                <w:sz w:val="22"/>
                <w:szCs w:val="22"/>
                <w14:textFill>
                  <w14:solidFill>
                    <w14:schemeClr w14:val="tx1"/>
                  </w14:solidFill>
                </w14:textFill>
              </w:rPr>
              <w:t>分；</w:t>
            </w:r>
          </w:p>
          <w:p w14:paraId="290DE383">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4.方案不可行或未提供不得分。</w:t>
            </w:r>
          </w:p>
        </w:tc>
        <w:tc>
          <w:tcPr>
            <w:tcW w:w="1122" w:type="dxa"/>
            <w:tcBorders>
              <w:tl2br w:val="nil"/>
              <w:tr2bl w:val="nil"/>
            </w:tcBorders>
            <w:noWrap w:val="0"/>
            <w:vAlign w:val="center"/>
          </w:tcPr>
          <w:p w14:paraId="6C1E315A">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8</w:t>
            </w:r>
            <w:r>
              <w:rPr>
                <w:rFonts w:hint="eastAsia" w:ascii="仿宋_GB2312" w:hAnsi="仿宋_GB2312" w:eastAsia="仿宋_GB2312" w:cs="仿宋_GB2312"/>
                <w:color w:val="000000" w:themeColor="text1"/>
                <w:sz w:val="22"/>
                <w:szCs w:val="22"/>
                <w14:textFill>
                  <w14:solidFill>
                    <w14:schemeClr w14:val="tx1"/>
                  </w14:solidFill>
                </w14:textFill>
              </w:rPr>
              <w:t>分</w:t>
            </w:r>
          </w:p>
        </w:tc>
      </w:tr>
      <w:tr w14:paraId="1D7F5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886" w:type="dxa"/>
            <w:vMerge w:val="continue"/>
            <w:tcBorders>
              <w:tl2br w:val="nil"/>
              <w:tr2bl w:val="nil"/>
            </w:tcBorders>
            <w:noWrap w:val="0"/>
            <w:vAlign w:val="top"/>
          </w:tcPr>
          <w:p w14:paraId="60B9FCD2">
            <w:pPr>
              <w:keepNext w:val="0"/>
              <w:keepLines w:val="0"/>
              <w:pageBreakBefore w:val="0"/>
              <w:widowControl w:val="0"/>
              <w:kinsoku/>
              <w:wordWrap/>
              <w:overflowPunct/>
              <w:topLinePunct w:val="0"/>
              <w:autoSpaceDE/>
              <w:autoSpaceDN/>
              <w:bidi w:val="0"/>
              <w:adjustRightInd/>
              <w:snapToGrid/>
              <w:spacing w:line="320" w:lineRule="exact"/>
              <w:ind w:left="0" w:right="0"/>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c>
          <w:tcPr>
            <w:tcW w:w="1956" w:type="dxa"/>
            <w:tcBorders>
              <w:tl2br w:val="nil"/>
              <w:tr2bl w:val="nil"/>
            </w:tcBorders>
            <w:noWrap w:val="0"/>
            <w:vAlign w:val="center"/>
          </w:tcPr>
          <w:p w14:paraId="201B7E21">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突发事件</w:t>
            </w:r>
          </w:p>
          <w:p w14:paraId="6ED93959">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应急保障方案</w:t>
            </w:r>
          </w:p>
        </w:tc>
        <w:tc>
          <w:tcPr>
            <w:tcW w:w="5710" w:type="dxa"/>
            <w:tcBorders>
              <w:tl2br w:val="nil"/>
              <w:tr2bl w:val="nil"/>
            </w:tcBorders>
            <w:noWrap w:val="0"/>
            <w:vAlign w:val="top"/>
          </w:tcPr>
          <w:p w14:paraId="5ECF85B9">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评标</w:t>
            </w:r>
            <w:r>
              <w:rPr>
                <w:rFonts w:hint="eastAsia" w:ascii="仿宋_GB2312" w:hAnsi="仿宋_GB2312" w:eastAsia="仿宋_GB2312" w:cs="仿宋_GB2312"/>
                <w:color w:val="000000" w:themeColor="text1"/>
                <w:sz w:val="22"/>
                <w:szCs w:val="22"/>
                <w14:textFill>
                  <w14:solidFill>
                    <w14:schemeClr w14:val="tx1"/>
                  </w14:solidFill>
                </w14:textFill>
              </w:rPr>
              <w:t>小组根据供应商提供的应急保障方案进行综合评审：</w:t>
            </w:r>
          </w:p>
          <w:p w14:paraId="48DEE15A">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1.方案完整详细，可行性、实用性、针对性强，得5分；</w:t>
            </w:r>
          </w:p>
          <w:p w14:paraId="64537954">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2"/>
                <w:sz w:val="22"/>
                <w:szCs w:val="22"/>
                <w14:textFill>
                  <w14:solidFill>
                    <w14:schemeClr w14:val="tx1"/>
                  </w14:solidFill>
                </w14:textFill>
              </w:rPr>
              <w:t>2.方案适合本项目采购需求，完整详细，具有可行性、实用性</w:t>
            </w:r>
            <w:r>
              <w:rPr>
                <w:rFonts w:hint="eastAsia" w:ascii="仿宋_GB2312" w:hAnsi="仿宋_GB2312" w:eastAsia="仿宋_GB2312" w:cs="仿宋_GB2312"/>
                <w:color w:val="000000" w:themeColor="text1"/>
                <w:sz w:val="22"/>
                <w:szCs w:val="22"/>
                <w14:textFill>
                  <w14:solidFill>
                    <w14:schemeClr w14:val="tx1"/>
                  </w14:solidFill>
                </w14:textFill>
              </w:rPr>
              <w:t>和针对性，得3分；</w:t>
            </w:r>
            <w:r>
              <w:rPr>
                <w:rFonts w:hint="eastAsia" w:ascii="仿宋_GB2312" w:hAnsi="仿宋_GB2312" w:eastAsia="仿宋_GB2312" w:cs="仿宋_GB2312"/>
                <w:color w:val="000000" w:themeColor="text1"/>
                <w:spacing w:val="2"/>
                <w:sz w:val="22"/>
                <w:szCs w:val="22"/>
                <w14:textFill>
                  <w14:solidFill>
                    <w14:schemeClr w14:val="tx1"/>
                  </w14:solidFill>
                </w14:textFill>
              </w:rPr>
              <w:t>3.方案基本适合本项目采购需求，可行性、实用性和针对性有</w:t>
            </w:r>
            <w:r>
              <w:rPr>
                <w:rFonts w:hint="eastAsia" w:ascii="仿宋_GB2312" w:hAnsi="仿宋_GB2312" w:eastAsia="仿宋_GB2312" w:cs="仿宋_GB2312"/>
                <w:color w:val="000000" w:themeColor="text1"/>
                <w:sz w:val="22"/>
                <w:szCs w:val="22"/>
                <w14:textFill>
                  <w14:solidFill>
                    <w14:schemeClr w14:val="tx1"/>
                  </w14:solidFill>
                </w14:textFill>
              </w:rPr>
              <w:t>待改善，得1分；</w:t>
            </w:r>
          </w:p>
          <w:p w14:paraId="4B21FEE1">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pacing w:val="-37"/>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4.方案不可行或未提供不得分。</w:t>
            </w:r>
          </w:p>
        </w:tc>
        <w:tc>
          <w:tcPr>
            <w:tcW w:w="1122" w:type="dxa"/>
            <w:tcBorders>
              <w:tl2br w:val="nil"/>
              <w:tr2bl w:val="nil"/>
            </w:tcBorders>
            <w:noWrap w:val="0"/>
            <w:vAlign w:val="center"/>
          </w:tcPr>
          <w:p w14:paraId="609ACDAF">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0-5分</w:t>
            </w:r>
          </w:p>
        </w:tc>
      </w:tr>
      <w:tr w14:paraId="4AFD7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5" w:hRule="atLeast"/>
          <w:jc w:val="center"/>
        </w:trPr>
        <w:tc>
          <w:tcPr>
            <w:tcW w:w="886" w:type="dxa"/>
            <w:vMerge w:val="continue"/>
            <w:tcBorders>
              <w:tl2br w:val="nil"/>
              <w:tr2bl w:val="nil"/>
            </w:tcBorders>
            <w:noWrap w:val="0"/>
            <w:vAlign w:val="top"/>
          </w:tcPr>
          <w:p w14:paraId="3E979FB0">
            <w:pPr>
              <w:keepNext w:val="0"/>
              <w:keepLines w:val="0"/>
              <w:pageBreakBefore w:val="0"/>
              <w:widowControl w:val="0"/>
              <w:kinsoku/>
              <w:wordWrap/>
              <w:overflowPunct/>
              <w:topLinePunct w:val="0"/>
              <w:autoSpaceDE/>
              <w:autoSpaceDN/>
              <w:bidi w:val="0"/>
              <w:adjustRightInd/>
              <w:snapToGrid/>
              <w:spacing w:line="320" w:lineRule="exact"/>
              <w:ind w:left="0" w:right="0"/>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c>
          <w:tcPr>
            <w:tcW w:w="1956" w:type="dxa"/>
            <w:tcBorders>
              <w:tl2br w:val="nil"/>
              <w:tr2bl w:val="nil"/>
            </w:tcBorders>
            <w:noWrap w:val="0"/>
            <w:vAlign w:val="center"/>
          </w:tcPr>
          <w:p w14:paraId="514D32FA">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盆器类型</w:t>
            </w:r>
          </w:p>
          <w:p w14:paraId="13109C45">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及搭配</w:t>
            </w:r>
          </w:p>
        </w:tc>
        <w:tc>
          <w:tcPr>
            <w:tcW w:w="5710" w:type="dxa"/>
            <w:tcBorders>
              <w:tl2br w:val="nil"/>
              <w:tr2bl w:val="nil"/>
            </w:tcBorders>
            <w:noWrap w:val="0"/>
            <w:vAlign w:val="top"/>
          </w:tcPr>
          <w:p w14:paraId="0F52DD88">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2"/>
                <w:sz w:val="22"/>
                <w:szCs w:val="22"/>
                <w14:textFill>
                  <w14:solidFill>
                    <w14:schemeClr w14:val="tx1"/>
                  </w14:solidFill>
                </w14:textFill>
              </w:rPr>
              <w:t>根据响应供应商针对本项目提供的盆器实物图由</w:t>
            </w:r>
            <w:r>
              <w:rPr>
                <w:rFonts w:hint="eastAsia" w:ascii="仿宋_GB2312" w:hAnsi="仿宋_GB2312" w:eastAsia="仿宋_GB2312" w:cs="仿宋_GB2312"/>
                <w:color w:val="000000" w:themeColor="text1"/>
                <w:spacing w:val="2"/>
                <w:sz w:val="22"/>
                <w:szCs w:val="22"/>
                <w:lang w:val="en-US" w:eastAsia="zh-CN"/>
                <w14:textFill>
                  <w14:solidFill>
                    <w14:schemeClr w14:val="tx1"/>
                  </w14:solidFill>
                </w14:textFill>
              </w:rPr>
              <w:t>评标</w:t>
            </w:r>
            <w:r>
              <w:rPr>
                <w:rFonts w:hint="eastAsia" w:ascii="仿宋_GB2312" w:hAnsi="仿宋_GB2312" w:eastAsia="仿宋_GB2312" w:cs="仿宋_GB2312"/>
                <w:color w:val="000000" w:themeColor="text1"/>
                <w:spacing w:val="2"/>
                <w:sz w:val="22"/>
                <w:szCs w:val="22"/>
                <w14:textFill>
                  <w14:solidFill>
                    <w14:schemeClr w14:val="tx1"/>
                  </w14:solidFill>
                </w14:textFill>
              </w:rPr>
              <w:t>小组进行</w:t>
            </w:r>
            <w:r>
              <w:rPr>
                <w:rFonts w:hint="eastAsia" w:ascii="仿宋_GB2312" w:hAnsi="仿宋_GB2312" w:eastAsia="仿宋_GB2312" w:cs="仿宋_GB2312"/>
                <w:color w:val="000000" w:themeColor="text1"/>
                <w:sz w:val="22"/>
                <w:szCs w:val="22"/>
                <w14:textFill>
                  <w14:solidFill>
                    <w14:schemeClr w14:val="tx1"/>
                  </w14:solidFill>
                </w14:textFill>
              </w:rPr>
              <w:t>评审：</w:t>
            </w:r>
          </w:p>
          <w:p w14:paraId="6EB37B67">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1.盆器造型美观且搭配多种方案可供采购人选择的，得5分；</w:t>
            </w:r>
          </w:p>
          <w:p w14:paraId="29B1E84A">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2.盆器造型较美观，可选种类少的，得3分；</w:t>
            </w:r>
          </w:p>
          <w:p w14:paraId="5F998622">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3.盆器造型单一，无可选种类的，得1分；</w:t>
            </w:r>
          </w:p>
          <w:p w14:paraId="65DA2327">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4.未提供的不得分。</w:t>
            </w:r>
          </w:p>
        </w:tc>
        <w:tc>
          <w:tcPr>
            <w:tcW w:w="1122" w:type="dxa"/>
            <w:tcBorders>
              <w:tl2br w:val="nil"/>
              <w:tr2bl w:val="nil"/>
            </w:tcBorders>
            <w:noWrap w:val="0"/>
            <w:vAlign w:val="center"/>
          </w:tcPr>
          <w:p w14:paraId="657CC0C4">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0-5分</w:t>
            </w:r>
          </w:p>
        </w:tc>
      </w:tr>
      <w:tr w14:paraId="63515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69" w:hRule="atLeast"/>
          <w:jc w:val="center"/>
        </w:trPr>
        <w:tc>
          <w:tcPr>
            <w:tcW w:w="886" w:type="dxa"/>
            <w:vMerge w:val="continue"/>
            <w:tcBorders>
              <w:tl2br w:val="nil"/>
              <w:tr2bl w:val="nil"/>
            </w:tcBorders>
            <w:noWrap w:val="0"/>
            <w:vAlign w:val="top"/>
          </w:tcPr>
          <w:p w14:paraId="53DBB7CA">
            <w:pPr>
              <w:keepNext w:val="0"/>
              <w:keepLines w:val="0"/>
              <w:pageBreakBefore w:val="0"/>
              <w:widowControl w:val="0"/>
              <w:kinsoku/>
              <w:wordWrap/>
              <w:overflowPunct/>
              <w:topLinePunct w:val="0"/>
              <w:autoSpaceDE/>
              <w:autoSpaceDN/>
              <w:bidi w:val="0"/>
              <w:adjustRightInd/>
              <w:snapToGrid/>
              <w:spacing w:line="320" w:lineRule="exact"/>
              <w:ind w:left="0" w:right="0"/>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c>
          <w:tcPr>
            <w:tcW w:w="1956" w:type="dxa"/>
            <w:tcBorders>
              <w:tl2br w:val="nil"/>
              <w:tr2bl w:val="nil"/>
            </w:tcBorders>
            <w:noWrap w:val="0"/>
            <w:vAlign w:val="center"/>
          </w:tcPr>
          <w:p w14:paraId="1D7DE294">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增值服务</w:t>
            </w:r>
          </w:p>
        </w:tc>
        <w:tc>
          <w:tcPr>
            <w:tcW w:w="5710" w:type="dxa"/>
            <w:tcBorders>
              <w:tl2br w:val="nil"/>
              <w:tr2bl w:val="nil"/>
            </w:tcBorders>
            <w:noWrap w:val="0"/>
            <w:vAlign w:val="top"/>
          </w:tcPr>
          <w:p w14:paraId="6DC34442">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2"/>
                <w:sz w:val="22"/>
                <w:szCs w:val="22"/>
                <w14:textFill>
                  <w14:solidFill>
                    <w14:schemeClr w14:val="tx1"/>
                  </w14:solidFill>
                </w14:textFill>
              </w:rPr>
              <w:t>供应商在完成基本服务的基础上，承诺在重大节日或重大活动中提供其它增值服务（例如无偿提供鲜花和绿植，用于营造氛</w:t>
            </w:r>
            <w:r>
              <w:rPr>
                <w:rFonts w:hint="eastAsia" w:ascii="仿宋_GB2312" w:hAnsi="仿宋_GB2312" w:eastAsia="仿宋_GB2312" w:cs="仿宋_GB2312"/>
                <w:color w:val="000000" w:themeColor="text1"/>
                <w:sz w:val="22"/>
                <w:szCs w:val="22"/>
                <w14:textFill>
                  <w14:solidFill>
                    <w14:schemeClr w14:val="tx1"/>
                  </w14:solidFill>
                </w14:textFill>
              </w:rPr>
              <w:t>围）的，由</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评标</w:t>
            </w:r>
            <w:r>
              <w:rPr>
                <w:rFonts w:hint="eastAsia" w:ascii="仿宋_GB2312" w:hAnsi="仿宋_GB2312" w:eastAsia="仿宋_GB2312" w:cs="仿宋_GB2312"/>
                <w:color w:val="000000" w:themeColor="text1"/>
                <w:sz w:val="22"/>
                <w:szCs w:val="22"/>
                <w14:textFill>
                  <w14:solidFill>
                    <w14:schemeClr w14:val="tx1"/>
                  </w14:solidFill>
                </w14:textFill>
              </w:rPr>
              <w:t>小组综合评分：</w:t>
            </w:r>
          </w:p>
          <w:p w14:paraId="5F245B2F">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1.承诺提供的增值服务种类丰富，能达到良好效果，得5分；</w:t>
            </w:r>
          </w:p>
          <w:p w14:paraId="253EA314">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10"/>
                <w:sz w:val="22"/>
                <w:szCs w:val="22"/>
                <w14:textFill>
                  <w14:solidFill>
                    <w14:schemeClr w14:val="tx1"/>
                  </w14:solidFill>
                </w14:textFill>
              </w:rPr>
              <w:t>2.承诺提供增值服务，种类较丰富，能达到较好效果，得</w:t>
            </w:r>
            <w:r>
              <w:rPr>
                <w:rFonts w:hint="eastAsia" w:ascii="仿宋_GB2312" w:hAnsi="仿宋_GB2312" w:eastAsia="仿宋_GB2312" w:cs="仿宋_GB2312"/>
                <w:color w:val="000000" w:themeColor="text1"/>
                <w:sz w:val="22"/>
                <w:szCs w:val="22"/>
                <w14:textFill>
                  <w14:solidFill>
                    <w14:schemeClr w14:val="tx1"/>
                  </w14:solidFill>
                </w14:textFill>
              </w:rPr>
              <w:t>3分；</w:t>
            </w:r>
          </w:p>
          <w:p w14:paraId="1AAB3C9F">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3.承诺提供增值服务，种类单一，效果有待提升，得1分；</w:t>
            </w:r>
          </w:p>
          <w:p w14:paraId="51571391">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4.未提供承诺的，不得分。</w:t>
            </w:r>
          </w:p>
        </w:tc>
        <w:tc>
          <w:tcPr>
            <w:tcW w:w="1122" w:type="dxa"/>
            <w:tcBorders>
              <w:tl2br w:val="nil"/>
              <w:tr2bl w:val="nil"/>
            </w:tcBorders>
            <w:noWrap w:val="0"/>
            <w:vAlign w:val="center"/>
          </w:tcPr>
          <w:p w14:paraId="06EC322B">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0-5分</w:t>
            </w:r>
          </w:p>
        </w:tc>
      </w:tr>
    </w:tbl>
    <w:p w14:paraId="265B1026">
      <w:pPr>
        <w:keepNext w:val="0"/>
        <w:keepLines w:val="0"/>
        <w:pageBreakBefore w:val="0"/>
        <w:widowControl w:val="0"/>
        <w:kinsoku/>
        <w:wordWrap/>
        <w:overflowPunct/>
        <w:topLinePunct w:val="0"/>
        <w:autoSpaceDE/>
        <w:autoSpaceDN/>
        <w:bidi w:val="0"/>
        <w:adjustRightInd/>
        <w:snapToGrid/>
        <w:spacing w:after="0" w:line="400" w:lineRule="atLeast"/>
        <w:jc w:val="left"/>
        <w:textAlignment w:val="auto"/>
        <w:rPr>
          <w:rFonts w:hint="eastAsia" w:ascii="仿宋_GB2312" w:hAnsi="仿宋_GB2312" w:eastAsia="仿宋_GB2312" w:cs="仿宋_GB2312"/>
          <w:sz w:val="24"/>
          <w:szCs w:val="24"/>
        </w:rPr>
      </w:pPr>
    </w:p>
    <w:p w14:paraId="01BBF29F">
      <w:pPr>
        <w:keepNext w:val="0"/>
        <w:keepLines w:val="0"/>
        <w:pageBreakBefore w:val="0"/>
        <w:widowControl w:val="0"/>
        <w:kinsoku/>
        <w:wordWrap/>
        <w:overflowPunct/>
        <w:topLinePunct w:val="0"/>
        <w:autoSpaceDE/>
        <w:autoSpaceDN/>
        <w:bidi w:val="0"/>
        <w:adjustRightInd/>
        <w:snapToGrid/>
        <w:spacing w:after="0" w:line="400" w:lineRule="atLeast"/>
        <w:jc w:val="left"/>
        <w:textAlignment w:val="auto"/>
        <w:rPr>
          <w:rFonts w:hint="default" w:ascii="仿宋_GB2312" w:hAnsi="仿宋_GB2312" w:eastAsia="仿宋_GB2312" w:cs="仿宋_GB2312"/>
          <w:sz w:val="24"/>
          <w:szCs w:val="24"/>
          <w:lang w:val="en-US" w:eastAsia="zh-CN"/>
        </w:rPr>
      </w:pPr>
    </w:p>
    <w:sectPr>
      <w:headerReference r:id="rId4" w:type="first"/>
      <w:headerReference r:id="rId3" w:type="default"/>
      <w:footerReference r:id="rId5" w:type="default"/>
      <w:pgSz w:w="11907" w:h="16840"/>
      <w:pgMar w:top="1418" w:right="1134" w:bottom="1418" w:left="1134" w:header="851" w:footer="992"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icrosoft JhengHei">
    <w:panose1 w:val="020B0604030504040204"/>
    <w:charset w:val="88"/>
    <w:family w:val="swiss"/>
    <w:pitch w:val="default"/>
    <w:sig w:usb0="000002A7" w:usb1="28CF4400" w:usb2="00000016" w:usb3="00000000" w:csb0="00100009" w:csb1="00000000"/>
  </w:font>
  <w:font w:name="等线 Light">
    <w:panose1 w:val="02010600030101010101"/>
    <w:charset w:val="86"/>
    <w:family w:val="roman"/>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D6ECF">
    <w:pPr>
      <w:spacing w:before="0" w:after="0" w:line="14" w:lineRule="auto"/>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ABB30">
    <w:pPr>
      <w:spacing w:before="0" w:after="0" w:line="14" w:lineRule="auto"/>
      <w:rPr>
        <w:sz w:val="20"/>
        <w:szCs w:val="20"/>
      </w:rPr>
    </w:pPr>
    <w:r>
      <mc:AlternateContent>
        <mc:Choice Requires="wps">
          <w:drawing>
            <wp:anchor distT="0" distB="0" distL="114300" distR="114300" simplePos="0" relativeHeight="251659264" behindDoc="1" locked="0" layoutInCell="1" allowOverlap="1">
              <wp:simplePos x="0" y="0"/>
              <wp:positionH relativeFrom="page">
                <wp:posOffset>5102860</wp:posOffset>
              </wp:positionH>
              <wp:positionV relativeFrom="page">
                <wp:posOffset>367665</wp:posOffset>
              </wp:positionV>
              <wp:extent cx="1758950" cy="15875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758950" cy="158750"/>
                      </a:xfrm>
                      <a:prstGeom prst="rect">
                        <a:avLst/>
                      </a:prstGeom>
                      <a:noFill/>
                      <a:ln>
                        <a:noFill/>
                      </a:ln>
                      <a:effectLst/>
                    </wps:spPr>
                    <wps:txbx>
                      <w:txbxContent>
                        <w:p w14:paraId="342FA24C">
                          <w:pPr>
                            <w:pStyle w:val="6"/>
                            <w:spacing w:before="0" w:line="230" w:lineRule="exact"/>
                            <w:ind w:left="0" w:leftChars="0" w:right="0" w:firstLine="0" w:firstLineChars="0"/>
                            <w:jc w:val="left"/>
                          </w:pPr>
                        </w:p>
                      </w:txbxContent>
                    </wps:txbx>
                    <wps:bodyPr wrap="square" lIns="0" tIns="0" rIns="0" bIns="0" upright="1"/>
                  </wps:wsp>
                </a:graphicData>
              </a:graphic>
            </wp:anchor>
          </w:drawing>
        </mc:Choice>
        <mc:Fallback>
          <w:pict>
            <v:shape id="文本框 4" o:spid="_x0000_s1026" o:spt="202" type="#_x0000_t202" style="position:absolute;left:0pt;margin-left:401.8pt;margin-top:28.95pt;height:12.5pt;width:138.5pt;mso-position-horizontal-relative:page;mso-position-vertical-relative:page;z-index:-251657216;mso-width-relative:page;mso-height-relative:page;" filled="f" stroked="f" coordsize="21600,21600" o:gfxdata="UEsDBAoAAAAAAIdO4kAAAAAAAAAAAAAAAAAEAAAAZHJzL1BLAwQUAAAACACHTuJAU38/I9gAAAAK&#10;AQAADwAAAGRycy9kb3ducmV2LnhtbE2PTU/DMAyG70j8h8hI3FiyIUpbmk4IwQkJ0ZUDx7Tx2mqN&#10;U5rsg3+Pd2JH+330+nGxPrlRHHAOgycNy4UCgdR6O1Cn4at+u0tBhGjImtETavjFAOvy+qowufVH&#10;qvCwiZ3gEgq50dDHOOVShrZHZ8LCT0icbf3sTORx7qSdzZHL3ShXSiXSmYH4Qm8mfOmx3W32TsPz&#10;N1Wvw89H81ltq6GuM0XvyU7r25ulegIR8RT/YTjrszqU7NT4PdkgRg2puk8Y1fDwmIE4AypVvGk4&#10;WmUgy0JevlD+AVBLAwQUAAAACACHTuJA1cViycgBAACOAwAADgAAAGRycy9lMm9Eb2MueG1srVNL&#10;btswEN0XyB0I7mvaQd24guUAhZGiQNEWSHIAmqIsAvxlhrbkC7Q36Kqb7nsunyNDSXbTdJNFN9Tj&#10;zPBx3uNoed05y/Ya0ARf8tlkypn2KlTGb0t+f3fzesEZJukraYPXJT9o5Neri1fLNhb6MjTBVhoY&#10;kXgs2ljyJqVYCIGq0U7iJETtKVkHcDLRFraiAtkSu7Picjp9K9oAVYSgNCJF10OSj4zwEsJQ10bp&#10;dVA7p30aWEFbmUgSNiYiX/Xd1rVW6Utdo07MlpyUpn6lSwhv8ipWS1lsQcbGqLEF+ZIWnmly0ni6&#10;9Ey1lkmyHZh/qJxREDDUaaKCE4OQ3hFSMZs+8+a2kVH3WshqjGfT8f/Rqs/7r8BMRZPAmZeOHvz4&#10;4/vx5+/jr2/sTbanjVhQ1W2kutS9D10uHeNIway6q8HlL+lhlCdzD2dzdZeYyoeu5ot3c0opys3m&#10;iyvCRCP+nI6A6YMOjmVQcqDH6z2V+0+YhtJTSb7MhxtjLcVlYf1fAeIcIrqfgPF0FjI0nFHqNt2o&#10;YhOqA4lraQpKjg87CZoz+9GTzXlkTgBOYHMCuwhm21CrvSEi09Iz9ZrGkcpz8HRP+OlvtHo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U38/I9gAAAAKAQAADwAAAAAAAAABACAAAAAiAAAAZHJzL2Rv&#10;d25yZXYueG1sUEsBAhQAFAAAAAgAh07iQNXFYsnIAQAAjgMAAA4AAAAAAAAAAQAgAAAAJwEAAGRy&#10;cy9lMm9Eb2MueG1sUEsFBgAAAAAGAAYAWQEAAGEFAAAAAA==&#10;">
              <v:fill on="f" focussize="0,0"/>
              <v:stroke on="f"/>
              <v:imagedata o:title=""/>
              <o:lock v:ext="edit" aspectratio="f"/>
              <v:textbox inset="0mm,0mm,0mm,0mm">
                <w:txbxContent>
                  <w:p w14:paraId="342FA24C">
                    <w:pPr>
                      <w:pStyle w:val="6"/>
                      <w:spacing w:before="0" w:line="230" w:lineRule="exact"/>
                      <w:ind w:left="0" w:leftChars="0" w:right="0" w:firstLine="0" w:firstLineChars="0"/>
                      <w:jc w:val="left"/>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FBC9B">
    <w:pPr>
      <w:pStyle w:val="10"/>
      <w:pBdr>
        <w:bottom w:val="none" w:color="auto" w:sz="0" w:space="1"/>
      </w:pBdr>
      <w:bidi w:val="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66E"/>
    <w:rsid w:val="00035B14"/>
    <w:rsid w:val="000B6281"/>
    <w:rsid w:val="000C1E80"/>
    <w:rsid w:val="001A0035"/>
    <w:rsid w:val="003357D8"/>
    <w:rsid w:val="003A1E66"/>
    <w:rsid w:val="003A74A6"/>
    <w:rsid w:val="004540D0"/>
    <w:rsid w:val="006C49AA"/>
    <w:rsid w:val="008003A1"/>
    <w:rsid w:val="00843D72"/>
    <w:rsid w:val="008B58B7"/>
    <w:rsid w:val="009064ED"/>
    <w:rsid w:val="00913746"/>
    <w:rsid w:val="00B72192"/>
    <w:rsid w:val="00BE366E"/>
    <w:rsid w:val="00BF1B18"/>
    <w:rsid w:val="00C23DAB"/>
    <w:rsid w:val="00CB46D5"/>
    <w:rsid w:val="00D90C54"/>
    <w:rsid w:val="00DC3D99"/>
    <w:rsid w:val="00E16FE2"/>
    <w:rsid w:val="00E714B7"/>
    <w:rsid w:val="00FF3E8D"/>
    <w:rsid w:val="0136732D"/>
    <w:rsid w:val="0141173E"/>
    <w:rsid w:val="01DF282B"/>
    <w:rsid w:val="0213141D"/>
    <w:rsid w:val="022E44A8"/>
    <w:rsid w:val="022E7E43"/>
    <w:rsid w:val="02337D11"/>
    <w:rsid w:val="023C4E17"/>
    <w:rsid w:val="024912E2"/>
    <w:rsid w:val="02ED4929"/>
    <w:rsid w:val="02F35201"/>
    <w:rsid w:val="035E0DBD"/>
    <w:rsid w:val="0389774E"/>
    <w:rsid w:val="03B86720"/>
    <w:rsid w:val="04180F6C"/>
    <w:rsid w:val="041A0940"/>
    <w:rsid w:val="047B14FB"/>
    <w:rsid w:val="058A1895"/>
    <w:rsid w:val="05B265A9"/>
    <w:rsid w:val="05D47115"/>
    <w:rsid w:val="061D0ABC"/>
    <w:rsid w:val="061E463C"/>
    <w:rsid w:val="066B31D2"/>
    <w:rsid w:val="06AE28AA"/>
    <w:rsid w:val="06D7510F"/>
    <w:rsid w:val="06DA4BFF"/>
    <w:rsid w:val="076D5A73"/>
    <w:rsid w:val="07C84A57"/>
    <w:rsid w:val="07D96C64"/>
    <w:rsid w:val="07DE479F"/>
    <w:rsid w:val="07E04ED4"/>
    <w:rsid w:val="07F046C2"/>
    <w:rsid w:val="086C1887"/>
    <w:rsid w:val="08E537A4"/>
    <w:rsid w:val="09070EBE"/>
    <w:rsid w:val="093B5DD7"/>
    <w:rsid w:val="094605F3"/>
    <w:rsid w:val="09A57842"/>
    <w:rsid w:val="0A326B00"/>
    <w:rsid w:val="0A670558"/>
    <w:rsid w:val="0AA3355A"/>
    <w:rsid w:val="0ABA0FCF"/>
    <w:rsid w:val="0AE96917"/>
    <w:rsid w:val="0B0A5D52"/>
    <w:rsid w:val="0B0E131B"/>
    <w:rsid w:val="0B1C6E82"/>
    <w:rsid w:val="0B387C38"/>
    <w:rsid w:val="0B4A6210"/>
    <w:rsid w:val="0B8F5177"/>
    <w:rsid w:val="0BAA1044"/>
    <w:rsid w:val="0BFB1B6F"/>
    <w:rsid w:val="0C0C1F92"/>
    <w:rsid w:val="0C1E558E"/>
    <w:rsid w:val="0C216B20"/>
    <w:rsid w:val="0C436DA2"/>
    <w:rsid w:val="0CDD3B9D"/>
    <w:rsid w:val="0DB8586A"/>
    <w:rsid w:val="0E3B2427"/>
    <w:rsid w:val="0E5E1C72"/>
    <w:rsid w:val="0E635B8D"/>
    <w:rsid w:val="0E663E82"/>
    <w:rsid w:val="0E712AE4"/>
    <w:rsid w:val="0EC3241C"/>
    <w:rsid w:val="0EE01D30"/>
    <w:rsid w:val="0F512094"/>
    <w:rsid w:val="0F6367B2"/>
    <w:rsid w:val="0F6565D0"/>
    <w:rsid w:val="0F782B3C"/>
    <w:rsid w:val="0FC70FE9"/>
    <w:rsid w:val="0FFF1232"/>
    <w:rsid w:val="10392996"/>
    <w:rsid w:val="106D2640"/>
    <w:rsid w:val="1097590F"/>
    <w:rsid w:val="10F92125"/>
    <w:rsid w:val="111D0AF3"/>
    <w:rsid w:val="11562854"/>
    <w:rsid w:val="1193404D"/>
    <w:rsid w:val="11DF30C9"/>
    <w:rsid w:val="12283A6E"/>
    <w:rsid w:val="131A358D"/>
    <w:rsid w:val="13693592"/>
    <w:rsid w:val="13FE6D44"/>
    <w:rsid w:val="14100654"/>
    <w:rsid w:val="14270D98"/>
    <w:rsid w:val="144E09DA"/>
    <w:rsid w:val="144F2320"/>
    <w:rsid w:val="14AA169C"/>
    <w:rsid w:val="14FA1AF0"/>
    <w:rsid w:val="15C72A4F"/>
    <w:rsid w:val="15D9729B"/>
    <w:rsid w:val="15EE7D7F"/>
    <w:rsid w:val="15F1786F"/>
    <w:rsid w:val="15F630D7"/>
    <w:rsid w:val="15FA6724"/>
    <w:rsid w:val="161B4336"/>
    <w:rsid w:val="163F2203"/>
    <w:rsid w:val="170D692B"/>
    <w:rsid w:val="17435EA8"/>
    <w:rsid w:val="174C7453"/>
    <w:rsid w:val="17F36D64"/>
    <w:rsid w:val="184F3970"/>
    <w:rsid w:val="18B21538"/>
    <w:rsid w:val="18BB1D18"/>
    <w:rsid w:val="18BB7381"/>
    <w:rsid w:val="190D49C0"/>
    <w:rsid w:val="19856C4C"/>
    <w:rsid w:val="198A4263"/>
    <w:rsid w:val="19C77265"/>
    <w:rsid w:val="1AB806AD"/>
    <w:rsid w:val="1B405118"/>
    <w:rsid w:val="1B565FBA"/>
    <w:rsid w:val="1B910FAC"/>
    <w:rsid w:val="1BBC26CD"/>
    <w:rsid w:val="1BE977E5"/>
    <w:rsid w:val="1BED17B1"/>
    <w:rsid w:val="1BEF055C"/>
    <w:rsid w:val="1C4A5F2B"/>
    <w:rsid w:val="1C4F0951"/>
    <w:rsid w:val="1C5C1EBC"/>
    <w:rsid w:val="1C7F3E27"/>
    <w:rsid w:val="1CA5683F"/>
    <w:rsid w:val="1D9E3913"/>
    <w:rsid w:val="1DAD252B"/>
    <w:rsid w:val="1E6A4663"/>
    <w:rsid w:val="1F256949"/>
    <w:rsid w:val="1F5D3CCB"/>
    <w:rsid w:val="1F7D3F22"/>
    <w:rsid w:val="1F9000F9"/>
    <w:rsid w:val="1F901EA7"/>
    <w:rsid w:val="1FC3402A"/>
    <w:rsid w:val="1FE10954"/>
    <w:rsid w:val="20427645"/>
    <w:rsid w:val="204309D7"/>
    <w:rsid w:val="20447A9D"/>
    <w:rsid w:val="204A07A7"/>
    <w:rsid w:val="225C42C2"/>
    <w:rsid w:val="226C6E29"/>
    <w:rsid w:val="23492A98"/>
    <w:rsid w:val="2375131B"/>
    <w:rsid w:val="23AC3027"/>
    <w:rsid w:val="247B3126"/>
    <w:rsid w:val="2503745F"/>
    <w:rsid w:val="259342D8"/>
    <w:rsid w:val="25CF1B27"/>
    <w:rsid w:val="25DE1BBE"/>
    <w:rsid w:val="26D46A0F"/>
    <w:rsid w:val="270E7A93"/>
    <w:rsid w:val="272B18C3"/>
    <w:rsid w:val="275859A0"/>
    <w:rsid w:val="27CE0F99"/>
    <w:rsid w:val="28DE6843"/>
    <w:rsid w:val="28F811E9"/>
    <w:rsid w:val="29067720"/>
    <w:rsid w:val="290F5382"/>
    <w:rsid w:val="29253660"/>
    <w:rsid w:val="292A6C56"/>
    <w:rsid w:val="29B21F15"/>
    <w:rsid w:val="29EC23D0"/>
    <w:rsid w:val="2A3E0BD6"/>
    <w:rsid w:val="2AA44A58"/>
    <w:rsid w:val="2B1E2F3E"/>
    <w:rsid w:val="2B216141"/>
    <w:rsid w:val="2B6F0AC1"/>
    <w:rsid w:val="2BE53FEE"/>
    <w:rsid w:val="2C0A2617"/>
    <w:rsid w:val="2C57666E"/>
    <w:rsid w:val="2CA90A4C"/>
    <w:rsid w:val="2CB82A3D"/>
    <w:rsid w:val="2CF50F73"/>
    <w:rsid w:val="2D311A58"/>
    <w:rsid w:val="2D5F639E"/>
    <w:rsid w:val="2D8748E9"/>
    <w:rsid w:val="2D8D062B"/>
    <w:rsid w:val="2D984D48"/>
    <w:rsid w:val="2EB536D8"/>
    <w:rsid w:val="2EC92CDF"/>
    <w:rsid w:val="2F91091A"/>
    <w:rsid w:val="2FB81397"/>
    <w:rsid w:val="2FB92D54"/>
    <w:rsid w:val="2FD61B58"/>
    <w:rsid w:val="2FEF6776"/>
    <w:rsid w:val="2FF355C0"/>
    <w:rsid w:val="30696528"/>
    <w:rsid w:val="309061AB"/>
    <w:rsid w:val="30CE3AF6"/>
    <w:rsid w:val="31093867"/>
    <w:rsid w:val="311741D6"/>
    <w:rsid w:val="311A3E75"/>
    <w:rsid w:val="313532F0"/>
    <w:rsid w:val="31575D78"/>
    <w:rsid w:val="317A4765"/>
    <w:rsid w:val="31AB765F"/>
    <w:rsid w:val="31AD0AA2"/>
    <w:rsid w:val="31C51E84"/>
    <w:rsid w:val="31E3230A"/>
    <w:rsid w:val="329B2608"/>
    <w:rsid w:val="3304078A"/>
    <w:rsid w:val="33185FE3"/>
    <w:rsid w:val="332F6941"/>
    <w:rsid w:val="333358E4"/>
    <w:rsid w:val="33927242"/>
    <w:rsid w:val="339C1DE2"/>
    <w:rsid w:val="33C00B55"/>
    <w:rsid w:val="34137D5B"/>
    <w:rsid w:val="344C4197"/>
    <w:rsid w:val="34887B02"/>
    <w:rsid w:val="349A6302"/>
    <w:rsid w:val="349B7866"/>
    <w:rsid w:val="34CB5C82"/>
    <w:rsid w:val="35245113"/>
    <w:rsid w:val="35551771"/>
    <w:rsid w:val="358012EA"/>
    <w:rsid w:val="364B4C1A"/>
    <w:rsid w:val="36535B69"/>
    <w:rsid w:val="36BA325F"/>
    <w:rsid w:val="36F71EB0"/>
    <w:rsid w:val="37113831"/>
    <w:rsid w:val="376E740B"/>
    <w:rsid w:val="37810603"/>
    <w:rsid w:val="37895702"/>
    <w:rsid w:val="37AC2B5B"/>
    <w:rsid w:val="37FA0698"/>
    <w:rsid w:val="37FD193B"/>
    <w:rsid w:val="3A0F0F1F"/>
    <w:rsid w:val="3A604166"/>
    <w:rsid w:val="3AA30888"/>
    <w:rsid w:val="3AEC07EE"/>
    <w:rsid w:val="3B6B1510"/>
    <w:rsid w:val="3C5C6BA4"/>
    <w:rsid w:val="3C677A85"/>
    <w:rsid w:val="3CAD4439"/>
    <w:rsid w:val="3CC52D38"/>
    <w:rsid w:val="3CDB7ABF"/>
    <w:rsid w:val="3D315F50"/>
    <w:rsid w:val="3D622C7D"/>
    <w:rsid w:val="3D7559E8"/>
    <w:rsid w:val="3D857325"/>
    <w:rsid w:val="3DA07301"/>
    <w:rsid w:val="3E09134A"/>
    <w:rsid w:val="3E0B38F7"/>
    <w:rsid w:val="3E0D5FDE"/>
    <w:rsid w:val="3E530817"/>
    <w:rsid w:val="3EC70312"/>
    <w:rsid w:val="3EFA6C6F"/>
    <w:rsid w:val="3F070A89"/>
    <w:rsid w:val="3F8973D9"/>
    <w:rsid w:val="3FB11C9A"/>
    <w:rsid w:val="3FC27A03"/>
    <w:rsid w:val="4004001B"/>
    <w:rsid w:val="40204729"/>
    <w:rsid w:val="40372124"/>
    <w:rsid w:val="40912534"/>
    <w:rsid w:val="40AA0BC3"/>
    <w:rsid w:val="40AF442B"/>
    <w:rsid w:val="40D0144F"/>
    <w:rsid w:val="40FB7670"/>
    <w:rsid w:val="41130983"/>
    <w:rsid w:val="412C1E99"/>
    <w:rsid w:val="41EF0857"/>
    <w:rsid w:val="420C765B"/>
    <w:rsid w:val="42195D49"/>
    <w:rsid w:val="421F738E"/>
    <w:rsid w:val="42654CCD"/>
    <w:rsid w:val="4271702A"/>
    <w:rsid w:val="42A03F70"/>
    <w:rsid w:val="42B15B0D"/>
    <w:rsid w:val="42FC147E"/>
    <w:rsid w:val="434A4438"/>
    <w:rsid w:val="43D96F8F"/>
    <w:rsid w:val="44247EDE"/>
    <w:rsid w:val="444529B0"/>
    <w:rsid w:val="44653BF3"/>
    <w:rsid w:val="446E034F"/>
    <w:rsid w:val="448D4A83"/>
    <w:rsid w:val="44A92F3F"/>
    <w:rsid w:val="44E7409E"/>
    <w:rsid w:val="44EE29D7"/>
    <w:rsid w:val="451070EF"/>
    <w:rsid w:val="45294080"/>
    <w:rsid w:val="45C941BB"/>
    <w:rsid w:val="46114327"/>
    <w:rsid w:val="462151D2"/>
    <w:rsid w:val="46623CEE"/>
    <w:rsid w:val="466510E8"/>
    <w:rsid w:val="46676444"/>
    <w:rsid w:val="468641BC"/>
    <w:rsid w:val="46AB2F56"/>
    <w:rsid w:val="46C71DA3"/>
    <w:rsid w:val="47224D0F"/>
    <w:rsid w:val="4746716B"/>
    <w:rsid w:val="477C2B8D"/>
    <w:rsid w:val="47925F0D"/>
    <w:rsid w:val="47A125F4"/>
    <w:rsid w:val="47AF4671"/>
    <w:rsid w:val="47B438CB"/>
    <w:rsid w:val="48381158"/>
    <w:rsid w:val="485338EE"/>
    <w:rsid w:val="4857021F"/>
    <w:rsid w:val="48861235"/>
    <w:rsid w:val="48A26623"/>
    <w:rsid w:val="49675177"/>
    <w:rsid w:val="49712EA0"/>
    <w:rsid w:val="4984324F"/>
    <w:rsid w:val="49C01457"/>
    <w:rsid w:val="49C5081B"/>
    <w:rsid w:val="49FC7FB5"/>
    <w:rsid w:val="4A0A5ED7"/>
    <w:rsid w:val="4A812064"/>
    <w:rsid w:val="4A8F4DE1"/>
    <w:rsid w:val="4B0B4954"/>
    <w:rsid w:val="4B42108B"/>
    <w:rsid w:val="4BAC3727"/>
    <w:rsid w:val="4BB26B7D"/>
    <w:rsid w:val="4CB132D9"/>
    <w:rsid w:val="4CB93F3C"/>
    <w:rsid w:val="4CD9638C"/>
    <w:rsid w:val="4D3A507C"/>
    <w:rsid w:val="4D4E28D6"/>
    <w:rsid w:val="4D6507EC"/>
    <w:rsid w:val="4D6C6F43"/>
    <w:rsid w:val="4E5A4572"/>
    <w:rsid w:val="4E600B13"/>
    <w:rsid w:val="4E750215"/>
    <w:rsid w:val="4EE51018"/>
    <w:rsid w:val="4F2E29BF"/>
    <w:rsid w:val="4F7C6F18"/>
    <w:rsid w:val="4F820F5D"/>
    <w:rsid w:val="4F867A10"/>
    <w:rsid w:val="4F9807E9"/>
    <w:rsid w:val="4FD317B8"/>
    <w:rsid w:val="4FEB43E2"/>
    <w:rsid w:val="50265D8C"/>
    <w:rsid w:val="509C75BB"/>
    <w:rsid w:val="50AF5D81"/>
    <w:rsid w:val="50D61560"/>
    <w:rsid w:val="50F6750C"/>
    <w:rsid w:val="511C5758"/>
    <w:rsid w:val="513B13C3"/>
    <w:rsid w:val="5151627E"/>
    <w:rsid w:val="526B51E1"/>
    <w:rsid w:val="52C146C6"/>
    <w:rsid w:val="52EA12F3"/>
    <w:rsid w:val="53CB2983"/>
    <w:rsid w:val="544D1A16"/>
    <w:rsid w:val="54660E4D"/>
    <w:rsid w:val="54C92711"/>
    <w:rsid w:val="54F528FF"/>
    <w:rsid w:val="55004DFD"/>
    <w:rsid w:val="550B72FE"/>
    <w:rsid w:val="551179E8"/>
    <w:rsid w:val="55C951EF"/>
    <w:rsid w:val="564A0525"/>
    <w:rsid w:val="565C0C08"/>
    <w:rsid w:val="566C201F"/>
    <w:rsid w:val="5681712D"/>
    <w:rsid w:val="56A93002"/>
    <w:rsid w:val="570023E5"/>
    <w:rsid w:val="57B4280D"/>
    <w:rsid w:val="57E77B5C"/>
    <w:rsid w:val="58052BEF"/>
    <w:rsid w:val="583A6820"/>
    <w:rsid w:val="586438F5"/>
    <w:rsid w:val="58B3656B"/>
    <w:rsid w:val="58CD3249"/>
    <w:rsid w:val="590F1AB3"/>
    <w:rsid w:val="59376914"/>
    <w:rsid w:val="59AE6756"/>
    <w:rsid w:val="59F842F5"/>
    <w:rsid w:val="5A3F3FCC"/>
    <w:rsid w:val="5ABF6DE0"/>
    <w:rsid w:val="5B1F3B03"/>
    <w:rsid w:val="5B9E711E"/>
    <w:rsid w:val="5C471564"/>
    <w:rsid w:val="5C8005D2"/>
    <w:rsid w:val="5C964B04"/>
    <w:rsid w:val="5CE32CF3"/>
    <w:rsid w:val="5CF765FF"/>
    <w:rsid w:val="5D395350"/>
    <w:rsid w:val="5DBD5391"/>
    <w:rsid w:val="5DED09D2"/>
    <w:rsid w:val="5E0A2088"/>
    <w:rsid w:val="5E1B4A56"/>
    <w:rsid w:val="5EA652CA"/>
    <w:rsid w:val="5EFA466C"/>
    <w:rsid w:val="5F7C32D2"/>
    <w:rsid w:val="6014175D"/>
    <w:rsid w:val="60B847DE"/>
    <w:rsid w:val="60D37667"/>
    <w:rsid w:val="60E2185B"/>
    <w:rsid w:val="60F31CBA"/>
    <w:rsid w:val="60FD0443"/>
    <w:rsid w:val="610C69B6"/>
    <w:rsid w:val="611B6A67"/>
    <w:rsid w:val="61300818"/>
    <w:rsid w:val="615C33BC"/>
    <w:rsid w:val="61720EAB"/>
    <w:rsid w:val="619B3155"/>
    <w:rsid w:val="61A84853"/>
    <w:rsid w:val="61B97AE9"/>
    <w:rsid w:val="61C176C2"/>
    <w:rsid w:val="61D73DC8"/>
    <w:rsid w:val="61EB2991"/>
    <w:rsid w:val="62297E0B"/>
    <w:rsid w:val="62483940"/>
    <w:rsid w:val="626079BA"/>
    <w:rsid w:val="629426BD"/>
    <w:rsid w:val="62AC03F8"/>
    <w:rsid w:val="6329551F"/>
    <w:rsid w:val="633677E2"/>
    <w:rsid w:val="63586960"/>
    <w:rsid w:val="63671082"/>
    <w:rsid w:val="6372766B"/>
    <w:rsid w:val="64673CE0"/>
    <w:rsid w:val="648246FC"/>
    <w:rsid w:val="64AE2438"/>
    <w:rsid w:val="64B57118"/>
    <w:rsid w:val="64ED07CF"/>
    <w:rsid w:val="64FE29DC"/>
    <w:rsid w:val="65A05841"/>
    <w:rsid w:val="65BF6D50"/>
    <w:rsid w:val="65C2160A"/>
    <w:rsid w:val="65DF280D"/>
    <w:rsid w:val="66236B9E"/>
    <w:rsid w:val="665135D2"/>
    <w:rsid w:val="66925AD1"/>
    <w:rsid w:val="66E76C34"/>
    <w:rsid w:val="681C08A2"/>
    <w:rsid w:val="6853303E"/>
    <w:rsid w:val="687A3B98"/>
    <w:rsid w:val="693C3264"/>
    <w:rsid w:val="695D23C7"/>
    <w:rsid w:val="69BE2739"/>
    <w:rsid w:val="6A3F387A"/>
    <w:rsid w:val="6A626230"/>
    <w:rsid w:val="6A7379C8"/>
    <w:rsid w:val="6B036F9E"/>
    <w:rsid w:val="6B4B624F"/>
    <w:rsid w:val="6B6C411B"/>
    <w:rsid w:val="6B8A321B"/>
    <w:rsid w:val="6BC24763"/>
    <w:rsid w:val="6BDB151F"/>
    <w:rsid w:val="6BEF78D3"/>
    <w:rsid w:val="6C741F41"/>
    <w:rsid w:val="6C7812C6"/>
    <w:rsid w:val="6C811B47"/>
    <w:rsid w:val="6CE040B2"/>
    <w:rsid w:val="6E217E67"/>
    <w:rsid w:val="6E3A1644"/>
    <w:rsid w:val="6EAD0C3E"/>
    <w:rsid w:val="6ED76777"/>
    <w:rsid w:val="705B0CE2"/>
    <w:rsid w:val="70733077"/>
    <w:rsid w:val="70D016D0"/>
    <w:rsid w:val="7113156F"/>
    <w:rsid w:val="713559D7"/>
    <w:rsid w:val="71D20DBE"/>
    <w:rsid w:val="725D51E5"/>
    <w:rsid w:val="726A16B3"/>
    <w:rsid w:val="727F515C"/>
    <w:rsid w:val="729F57FE"/>
    <w:rsid w:val="72D52EF9"/>
    <w:rsid w:val="72EC0317"/>
    <w:rsid w:val="735A3718"/>
    <w:rsid w:val="73762F3C"/>
    <w:rsid w:val="7379521D"/>
    <w:rsid w:val="73EB05CF"/>
    <w:rsid w:val="74B35591"/>
    <w:rsid w:val="74E62AF0"/>
    <w:rsid w:val="76562678"/>
    <w:rsid w:val="768F5B89"/>
    <w:rsid w:val="76B26EEE"/>
    <w:rsid w:val="76C22672"/>
    <w:rsid w:val="76FB0FF5"/>
    <w:rsid w:val="773F135E"/>
    <w:rsid w:val="77CB0E43"/>
    <w:rsid w:val="780B56E4"/>
    <w:rsid w:val="780E4365"/>
    <w:rsid w:val="78432AFC"/>
    <w:rsid w:val="786C02E4"/>
    <w:rsid w:val="786F01C5"/>
    <w:rsid w:val="788C2381"/>
    <w:rsid w:val="78A50F92"/>
    <w:rsid w:val="79020895"/>
    <w:rsid w:val="799E5DE0"/>
    <w:rsid w:val="79AC3677"/>
    <w:rsid w:val="79C577C5"/>
    <w:rsid w:val="7A171774"/>
    <w:rsid w:val="7A8772A3"/>
    <w:rsid w:val="7A88301C"/>
    <w:rsid w:val="7ABC1AED"/>
    <w:rsid w:val="7AEA15E0"/>
    <w:rsid w:val="7AF366E7"/>
    <w:rsid w:val="7B4A3984"/>
    <w:rsid w:val="7B58479C"/>
    <w:rsid w:val="7B86755B"/>
    <w:rsid w:val="7BC10593"/>
    <w:rsid w:val="7BE5052C"/>
    <w:rsid w:val="7C1728A9"/>
    <w:rsid w:val="7C2E374F"/>
    <w:rsid w:val="7CD04806"/>
    <w:rsid w:val="7D3E3E65"/>
    <w:rsid w:val="7D9A0F6E"/>
    <w:rsid w:val="7D9C1201"/>
    <w:rsid w:val="7E5B4317"/>
    <w:rsid w:val="7E957287"/>
    <w:rsid w:val="7F0F40ED"/>
    <w:rsid w:val="7F196938"/>
    <w:rsid w:val="7F1B506E"/>
    <w:rsid w:val="7F2E40DB"/>
    <w:rsid w:val="7F3F768D"/>
    <w:rsid w:val="7F470230"/>
    <w:rsid w:val="7F78546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nhideWhenUsed="0" w:uiPriority="1"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kern w:val="2"/>
      <w:sz w:val="21"/>
      <w:szCs w:val="20"/>
      <w:lang w:val="en-US" w:eastAsia="zh-CN" w:bidi="ar-SA"/>
    </w:rPr>
  </w:style>
  <w:style w:type="paragraph" w:styleId="2">
    <w:name w:val="heading 1"/>
    <w:basedOn w:val="3"/>
    <w:qFormat/>
    <w:uiPriority w:val="1"/>
    <w:pPr>
      <w:outlineLvl w:val="0"/>
    </w:pPr>
    <w:rPr>
      <w:rFonts w:ascii="Microsoft JhengHei" w:hAnsi="Microsoft JhengHei" w:eastAsia="Microsoft JhengHei"/>
      <w:sz w:val="44"/>
      <w:szCs w:val="44"/>
    </w:rPr>
  </w:style>
  <w:style w:type="paragraph" w:styleId="4">
    <w:name w:val="heading 2"/>
    <w:basedOn w:val="1"/>
    <w:next w:val="1"/>
    <w:link w:val="16"/>
    <w:unhideWhenUsed/>
    <w:qFormat/>
    <w:uiPriority w:val="9"/>
    <w:pPr>
      <w:keepNext/>
      <w:keepLines/>
      <w:spacing w:before="260" w:after="260" w:line="416" w:lineRule="auto"/>
      <w:outlineLvl w:val="1"/>
    </w:pPr>
    <w:rPr>
      <w:rFonts w:ascii="等线 Light" w:hAnsi="等线 Light" w:eastAsia="等线 Light" w:cs="Times New Roman"/>
      <w:b/>
      <w:bCs/>
      <w:sz w:val="32"/>
      <w:szCs w:val="32"/>
    </w:rPr>
  </w:style>
  <w:style w:type="paragraph" w:styleId="5">
    <w:name w:val="heading 3"/>
    <w:basedOn w:val="1"/>
    <w:qFormat/>
    <w:uiPriority w:val="1"/>
    <w:pPr>
      <w:ind w:left="140"/>
      <w:outlineLvl w:val="2"/>
    </w:pPr>
    <w:rPr>
      <w:rFonts w:ascii="Microsoft JhengHei" w:hAnsi="Microsoft JhengHei" w:eastAsia="Microsoft JhengHei"/>
      <w:b/>
      <w:bCs/>
      <w:sz w:val="28"/>
      <w:szCs w:val="28"/>
    </w:rPr>
  </w:style>
  <w:style w:type="paragraph" w:styleId="3">
    <w:name w:val="heading 7"/>
    <w:basedOn w:val="1"/>
    <w:qFormat/>
    <w:uiPriority w:val="1"/>
    <w:pPr>
      <w:ind w:left="560"/>
      <w:outlineLvl w:val="6"/>
    </w:pPr>
    <w:rPr>
      <w:rFonts w:ascii="Microsoft JhengHei" w:hAnsi="Microsoft JhengHei" w:eastAsia="Microsoft JhengHei"/>
      <w:b/>
      <w:bCs/>
      <w:sz w:val="21"/>
      <w:szCs w:val="21"/>
    </w:rPr>
  </w:style>
  <w:style w:type="character" w:default="1" w:styleId="15">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6">
    <w:name w:val="Body Text"/>
    <w:basedOn w:val="1"/>
    <w:qFormat/>
    <w:uiPriority w:val="0"/>
    <w:rPr>
      <w:rFonts w:ascii="楷体_GB2312" w:hAnsi="Arial" w:eastAsia="楷体_GB2312"/>
      <w:sz w:val="28"/>
      <w:szCs w:val="28"/>
    </w:rPr>
  </w:style>
  <w:style w:type="paragraph" w:styleId="7">
    <w:name w:val="Body Text Indent"/>
    <w:basedOn w:val="1"/>
    <w:next w:val="8"/>
    <w:qFormat/>
    <w:uiPriority w:val="0"/>
    <w:pPr>
      <w:ind w:left="420" w:leftChars="200"/>
    </w:pPr>
  </w:style>
  <w:style w:type="paragraph" w:styleId="8">
    <w:name w:val="envelope return"/>
    <w:basedOn w:val="1"/>
    <w:qFormat/>
    <w:uiPriority w:val="0"/>
    <w:pPr>
      <w:snapToGrid w:val="0"/>
    </w:pPr>
    <w:rPr>
      <w:rFonts w:ascii="Arial" w:hAnsi="Arial"/>
    </w:rPr>
  </w:style>
  <w:style w:type="paragraph" w:styleId="9">
    <w:name w:val="footer"/>
    <w:basedOn w:val="1"/>
    <w:link w:val="17"/>
    <w:unhideWhenUsed/>
    <w:qFormat/>
    <w:uiPriority w:val="99"/>
    <w:pPr>
      <w:tabs>
        <w:tab w:val="center" w:pos="4153"/>
        <w:tab w:val="right" w:pos="8306"/>
      </w:tabs>
      <w:snapToGrid w:val="0"/>
      <w:jc w:val="left"/>
    </w:pPr>
    <w:rPr>
      <w:rFonts w:ascii="等线" w:hAnsi="等线" w:eastAsia="等线" w:cs="Times New Roman"/>
      <w:sz w:val="18"/>
      <w:szCs w:val="18"/>
    </w:rPr>
  </w:style>
  <w:style w:type="paragraph" w:styleId="10">
    <w:name w:val="header"/>
    <w:basedOn w:val="1"/>
    <w:link w:val="18"/>
    <w:unhideWhenUsed/>
    <w:qFormat/>
    <w:uiPriority w:val="99"/>
    <w:pPr>
      <w:pBdr>
        <w:bottom w:val="single" w:color="auto" w:sz="6" w:space="1"/>
      </w:pBdr>
      <w:tabs>
        <w:tab w:val="center" w:pos="4153"/>
        <w:tab w:val="right" w:pos="8306"/>
      </w:tabs>
      <w:snapToGrid w:val="0"/>
      <w:jc w:val="center"/>
    </w:pPr>
    <w:rPr>
      <w:rFonts w:ascii="等线" w:hAnsi="等线" w:eastAsia="等线" w:cs="Times New Roman"/>
      <w:sz w:val="18"/>
      <w:szCs w:val="18"/>
    </w:rPr>
  </w:style>
  <w:style w:type="paragraph" w:styleId="11">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paragraph" w:styleId="12">
    <w:name w:val="Body Text First Indent 2"/>
    <w:basedOn w:val="7"/>
    <w:qFormat/>
    <w:uiPriority w:val="0"/>
    <w:pPr>
      <w:spacing w:after="120"/>
      <w:ind w:firstLine="420" w:firstLineChars="200"/>
    </w:pPr>
    <w:rPr>
      <w:szCs w:val="21"/>
    </w:rPr>
  </w:style>
  <w:style w:type="table" w:styleId="14">
    <w:name w:val="Table Grid"/>
    <w:basedOn w:val="1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标题 2 字符"/>
    <w:basedOn w:val="15"/>
    <w:link w:val="4"/>
    <w:qFormat/>
    <w:uiPriority w:val="9"/>
    <w:rPr>
      <w:rFonts w:ascii="等线 Light" w:hAnsi="等线 Light" w:eastAsia="等线 Light" w:cs="Times New Roman"/>
      <w:b/>
      <w:bCs/>
      <w:sz w:val="32"/>
      <w:szCs w:val="32"/>
    </w:rPr>
  </w:style>
  <w:style w:type="character" w:customStyle="1" w:styleId="17">
    <w:name w:val="页脚 字符"/>
    <w:basedOn w:val="15"/>
    <w:link w:val="9"/>
    <w:qFormat/>
    <w:uiPriority w:val="99"/>
    <w:rPr>
      <w:sz w:val="18"/>
      <w:szCs w:val="18"/>
    </w:rPr>
  </w:style>
  <w:style w:type="character" w:customStyle="1" w:styleId="18">
    <w:name w:val="页眉 字符"/>
    <w:basedOn w:val="15"/>
    <w:link w:val="10"/>
    <w:qFormat/>
    <w:uiPriority w:val="99"/>
    <w:rPr>
      <w:sz w:val="18"/>
      <w:szCs w:val="18"/>
    </w:rPr>
  </w:style>
  <w:style w:type="paragraph" w:styleId="19">
    <w:name w:val="List Paragraph"/>
    <w:basedOn w:val="1"/>
    <w:qFormat/>
    <w:uiPriority w:val="34"/>
    <w:pPr>
      <w:ind w:firstLine="420" w:firstLineChars="200"/>
    </w:pPr>
  </w:style>
  <w:style w:type="paragraph" w:customStyle="1" w:styleId="20">
    <w:name w:val="xl31"/>
    <w:basedOn w:val="1"/>
    <w:qFormat/>
    <w:uiPriority w:val="0"/>
    <w:pPr>
      <w:widowControl/>
      <w:spacing w:before="100" w:beforeAutospacing="1" w:after="100" w:afterAutospacing="1"/>
      <w:jc w:val="center"/>
    </w:pPr>
    <w:rPr>
      <w:b/>
      <w:bCs/>
      <w:kern w:val="0"/>
      <w:sz w:val="28"/>
      <w:szCs w:val="28"/>
    </w:rPr>
  </w:style>
  <w:style w:type="paragraph" w:customStyle="1" w:styleId="21">
    <w:name w:val="D&amp;L"/>
    <w:basedOn w:val="10"/>
    <w:qFormat/>
    <w:uiPriority w:val="0"/>
    <w:pPr>
      <w:pBdr>
        <w:bottom w:val="thinThickSmallGap" w:color="auto" w:sz="18" w:space="1"/>
      </w:pBdr>
      <w:adjustRightInd w:val="0"/>
      <w:snapToGrid/>
      <w:spacing w:line="240" w:lineRule="atLeast"/>
      <w:textAlignment w:val="baseline"/>
    </w:pPr>
    <w:rPr>
      <w:rFonts w:ascii="@仿宋_GB2312" w:hAnsi="@仿宋_GB2312" w:eastAsia="@仿宋_GB2312" w:cs="Times New Roman"/>
      <w:kern w:val="0"/>
      <w:sz w:val="24"/>
      <w:szCs w:val="20"/>
    </w:rPr>
  </w:style>
  <w:style w:type="table" w:customStyle="1" w:styleId="22">
    <w:name w:val="Grid Table 2"/>
    <w:basedOn w:val="13"/>
    <w:qFormat/>
    <w:uiPriority w:val="47"/>
    <w:tblPr>
      <w:tblBorders>
        <w:top w:val="single" w:color="666666" w:sz="2" w:space="0"/>
        <w:bottom w:val="single" w:color="666666" w:sz="2" w:space="0"/>
        <w:insideH w:val="single" w:color="666666" w:sz="2" w:space="0"/>
        <w:insideV w:val="single" w:color="666666" w:sz="2" w:space="0"/>
      </w:tblBorders>
    </w:tblPr>
    <w:tblStylePr w:type="firstRow">
      <w:rPr>
        <w:b/>
        <w:bCs/>
      </w:rPr>
      <w:tcPr>
        <w:tcBorders>
          <w:top w:val="nil"/>
          <w:left w:val="nil"/>
          <w:bottom w:val="single" w:color="666666" w:sz="12" w:space="0"/>
          <w:right w:val="nil"/>
          <w:insideH w:val="nil"/>
          <w:insideV w:val="nil"/>
          <w:tl2br w:val="nil"/>
          <w:tr2bl w:val="nil"/>
        </w:tcBorders>
        <w:shd w:val="clear" w:color="auto" w:fill="FFFFFF"/>
      </w:tcPr>
    </w:tblStylePr>
    <w:tblStylePr w:type="lastRow">
      <w:rPr>
        <w:b/>
        <w:bCs/>
      </w:rPr>
      <w:tcPr>
        <w:tcBorders>
          <w:top w:val="double" w:color="666666" w:sz="2" w:space="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cPr>
        <w:shd w:val="clear" w:color="auto" w:fill="CCCCCC"/>
      </w:tcPr>
    </w:tblStylePr>
    <w:tblStylePr w:type="band1Horz">
      <w:tcPr>
        <w:shd w:val="clear" w:color="auto" w:fill="CCCCCC"/>
      </w:tcPr>
    </w:tblStylePr>
  </w:style>
  <w:style w:type="paragraph" w:customStyle="1" w:styleId="23">
    <w:name w:val="Table Paragraph"/>
    <w:basedOn w:val="1"/>
    <w:qFormat/>
    <w:uiPriority w:val="1"/>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Pages>
  <Words>2979</Words>
  <Characters>3087</Characters>
  <Lines>229</Lines>
  <Paragraphs>278</Paragraphs>
  <TotalTime>6</TotalTime>
  <ScaleCrop>false</ScaleCrop>
  <LinksUpToDate>false</LinksUpToDate>
  <CharactersWithSpaces>3089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2021-03-04T06:02:00Z</dcterms:created>
  <dc:creator>NTKO</dc:creator>
  <cp:lastModifiedBy>发条橙子</cp:lastModifiedBy>
  <cp:lastPrinted>2025-07-10T02:32:00Z</cp:lastPrinted>
  <dcterms:modified xsi:type="dcterms:W3CDTF">2025-07-11T07:37:56Z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eyJoZGlkIjoiZmYwNjRiZTViM2VhOTUxYjBkMTA3ZDYxMjU4OGRjOGUiLCJ1c2VySWQiOiI3MzQ1MTk3ODUifQ==</vt:lpwstr>
  </property>
  <property fmtid="{D5CDD505-2E9C-101B-9397-08002B2CF9AE}" pid="4" name="ICV">
    <vt:lpwstr>BB2EE569C7864D5C95E5AFA8B7093D8A_13</vt:lpwstr>
  </property>
</Properties>
</file>