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C31A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bookmarkStart w:id="0" w:name="_GoBack"/>
      <w:bookmarkEnd w:id="0"/>
    </w:p>
    <w:p w14:paraId="05749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附件：</w:t>
      </w:r>
    </w:p>
    <w:p w14:paraId="4A64F635">
      <w:pPr>
        <w:numPr>
          <w:ilvl w:val="0"/>
          <w:numId w:val="0"/>
        </w:numPr>
        <w:spacing w:before="63" w:beforeLines="0" w:afterLines="0" w:line="222" w:lineRule="auto"/>
        <w:ind w:firstLine="628" w:firstLineChars="200"/>
        <w:outlineLvl w:val="2"/>
        <w:rPr>
          <w:rFonts w:hint="eastAsia" w:ascii="黑体" w:hAnsi="黑体" w:eastAsia="黑体" w:cs="黑体"/>
          <w:b w:val="0"/>
          <w:bCs/>
          <w:spacing w:val="2"/>
          <w:sz w:val="31"/>
          <w:szCs w:val="31"/>
        </w:rPr>
      </w:pPr>
      <w:r>
        <w:rPr>
          <w:rFonts w:hint="eastAsia" w:ascii="黑体" w:hAnsi="黑体" w:eastAsia="黑体" w:cs="黑体"/>
          <w:b w:val="0"/>
          <w:bCs/>
          <w:spacing w:val="2"/>
          <w:sz w:val="31"/>
          <w:szCs w:val="31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/>
          <w:spacing w:val="2"/>
          <w:sz w:val="31"/>
          <w:szCs w:val="31"/>
        </w:rPr>
        <w:t>提供材料要求</w:t>
      </w:r>
    </w:p>
    <w:p w14:paraId="39B05D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1.营业执照及税务登记证：提供有效的投标人营业执照 （或事业单位法人登记证书)和税务登记证的扫描件，应完整的体现出营业执照(或事业单位法人登记证书)和税务登记证的全部内容。已办理“三证合一”登记的，投标文件中提供营业执照(或事业单位法人登记证书)扫描件即可；</w:t>
      </w:r>
    </w:p>
    <w:p w14:paraId="575BFF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2.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响应文件：包括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报价单(含税)、最近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年内服务同类企业业绩材料(提供合同复 印件或中标通知书并加盖公章)；</w:t>
      </w:r>
    </w:p>
    <w:p w14:paraId="6E5C70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注：提交文件(正本)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壹式伍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份，内文加盖公章有效。所递送文件需自行密封并加盖封印，否则不予受理。</w:t>
      </w:r>
    </w:p>
    <w:p w14:paraId="6291F236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40791096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051791EA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66C723B7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08FC7DA4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65337F8A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5978D697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6DBB5C35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6DD74B8B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3A767755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4F25DEAB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1BC08F57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764131B7">
      <w:pPr>
        <w:spacing w:before="1" w:beforeLines="0" w:afterLines="0" w:line="221" w:lineRule="auto"/>
        <w:outlineLvl w:val="2"/>
        <w:rPr>
          <w:rFonts w:hint="eastAsia" w:ascii="黑体" w:hAnsi="黑体" w:eastAsia="黑体" w:cs="黑体"/>
          <w:b/>
          <w:spacing w:val="-1"/>
          <w:sz w:val="31"/>
          <w:szCs w:val="31"/>
          <w:lang w:val="en-US" w:eastAsia="zh-CN"/>
        </w:rPr>
      </w:pPr>
    </w:p>
    <w:p w14:paraId="0A898D8E">
      <w:pPr>
        <w:numPr>
          <w:ilvl w:val="0"/>
          <w:numId w:val="0"/>
        </w:numPr>
        <w:spacing w:before="63" w:beforeLines="0" w:afterLines="0" w:line="222" w:lineRule="auto"/>
        <w:ind w:firstLine="628" w:firstLineChars="200"/>
        <w:outlineLvl w:val="2"/>
        <w:rPr>
          <w:rFonts w:hint="default" w:ascii="黑体" w:hAnsi="黑体" w:eastAsia="黑体" w:cs="黑体"/>
          <w:b w:val="0"/>
          <w:bCs/>
          <w:spacing w:val="2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pacing w:val="2"/>
          <w:sz w:val="31"/>
          <w:szCs w:val="31"/>
          <w:lang w:val="en-US" w:eastAsia="zh-CN"/>
        </w:rPr>
        <w:t>二、响应文件格式</w:t>
      </w:r>
    </w:p>
    <w:p w14:paraId="7616DB1D">
      <w:pPr>
        <w:spacing w:before="143" w:beforeLines="0" w:afterLines="0" w:line="219" w:lineRule="auto"/>
        <w:jc w:val="both"/>
        <w:rPr>
          <w:rFonts w:hint="eastAsia" w:ascii="宋体" w:hAnsi="宋体" w:eastAsia="宋体" w:cs="宋体"/>
          <w:sz w:val="44"/>
          <w:szCs w:val="44"/>
        </w:rPr>
      </w:pPr>
      <w:r>
        <w:rPr>
          <w:rFonts w:hint="eastAsia" w:ascii="宋体" w:hAnsi="宋体" w:eastAsia="宋体" w:cs="宋体"/>
          <w:b/>
          <w:spacing w:val="-6"/>
          <w:sz w:val="44"/>
          <w:szCs w:val="44"/>
          <w:lang w:val="en-US" w:eastAsia="zh-CN"/>
        </w:rPr>
        <w:t>市引江投资公司</w:t>
      </w:r>
      <w:r>
        <w:rPr>
          <w:rFonts w:hint="eastAsia" w:ascii="宋体" w:hAnsi="宋体" w:eastAsia="宋体" w:cs="宋体"/>
          <w:b/>
          <w:spacing w:val="-6"/>
          <w:sz w:val="44"/>
          <w:szCs w:val="44"/>
        </w:rPr>
        <w:t>2025年度</w:t>
      </w:r>
      <w:r>
        <w:rPr>
          <w:rFonts w:hint="eastAsia" w:ascii="宋体" w:hAnsi="宋体" w:eastAsia="宋体" w:cs="宋体"/>
          <w:b/>
          <w:spacing w:val="-6"/>
          <w:sz w:val="44"/>
          <w:szCs w:val="44"/>
          <w:lang w:val="en-US" w:eastAsia="zh-CN"/>
        </w:rPr>
        <w:t>职</w:t>
      </w:r>
      <w:r>
        <w:rPr>
          <w:rFonts w:hint="eastAsia" w:ascii="宋体" w:hAnsi="宋体" w:eastAsia="宋体" w:cs="宋体"/>
          <w:b/>
          <w:spacing w:val="-6"/>
          <w:sz w:val="44"/>
          <w:szCs w:val="44"/>
        </w:rPr>
        <w:t>工健康体检项目</w:t>
      </w:r>
    </w:p>
    <w:p w14:paraId="1601989E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372266DF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2D251251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3BA0130D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63FA094C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41141A38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4ED0DCF9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1AE3FD90">
      <w:pPr>
        <w:spacing w:beforeLines="0" w:afterLines="0" w:line="241" w:lineRule="auto"/>
        <w:rPr>
          <w:rFonts w:hint="default"/>
          <w:sz w:val="21"/>
          <w:szCs w:val="21"/>
        </w:rPr>
      </w:pPr>
      <w:r>
        <w:rPr>
          <w:rFonts w:hint="default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2284730</wp:posOffset>
                </wp:positionH>
                <wp:positionV relativeFrom="paragraph">
                  <wp:posOffset>82550</wp:posOffset>
                </wp:positionV>
                <wp:extent cx="622935" cy="3307715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" cy="330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1EBDD73">
                            <w:pPr>
                              <w:spacing w:before="19" w:beforeLines="0" w:afterLines="0" w:line="201" w:lineRule="auto"/>
                              <w:ind w:left="20"/>
                              <w:rPr>
                                <w:rFonts w:hint="eastAsia" w:ascii="宋体" w:hAnsi="宋体" w:eastAsia="宋体" w:cs="宋体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84"/>
                                <w:szCs w:val="84"/>
                              </w:rPr>
                              <w:t>响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pacing w:val="47"/>
                                <w:sz w:val="84"/>
                                <w:szCs w:val="84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84"/>
                                <w:szCs w:val="84"/>
                              </w:rPr>
                              <w:t>应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pacing w:val="47"/>
                                <w:sz w:val="84"/>
                                <w:szCs w:val="84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84"/>
                                <w:szCs w:val="84"/>
                              </w:rPr>
                              <w:t>文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pacing w:val="48"/>
                                <w:sz w:val="84"/>
                                <w:szCs w:val="84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84"/>
                                <w:szCs w:val="84"/>
                              </w:rPr>
                              <w:t>件</w:t>
                            </w:r>
                          </w:p>
                        </w:txbxContent>
                      </wps:txbx>
                      <wps:bodyPr vert="eaVert" wrap="square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79.9pt;margin-top:6.5pt;height:260.45pt;width:49.05pt;z-index:251659264;mso-width-relative:page;mso-height-relative:page;" filled="f" stroked="f" coordsize="21600,21600" o:gfxdata="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IvzuArWAAAACgEAAA8AAAAAAAAAAQAgAAAAIgAAAGRy&#10;cy9kb3ducmV2LnhtbFBLAQIUABQAAAAIAIdO4kC7jJLQzgEAAI4DAAAOAAAAAAAAAAEAIAAAACUB&#10;AABkcnMvZTJvRG9jLnhtbFBLBQYAAAAABgAGAFkBAABlBQAAAAA=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21EBDD73">
                      <w:pPr>
                        <w:spacing w:before="19" w:beforeLines="0" w:afterLines="0" w:line="201" w:lineRule="auto"/>
                        <w:ind w:left="20"/>
                        <w:rPr>
                          <w:rFonts w:hint="eastAsia" w:ascii="宋体" w:hAnsi="宋体" w:eastAsia="宋体" w:cs="宋体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84"/>
                          <w:szCs w:val="84"/>
                        </w:rPr>
                        <w:t>响</w:t>
                      </w:r>
                      <w:r>
                        <w:rPr>
                          <w:rFonts w:hint="eastAsia" w:ascii="宋体" w:hAnsi="宋体" w:eastAsia="宋体" w:cs="宋体"/>
                          <w:spacing w:val="47"/>
                          <w:sz w:val="84"/>
                          <w:szCs w:val="84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sz w:val="84"/>
                          <w:szCs w:val="84"/>
                        </w:rPr>
                        <w:t>应</w:t>
                      </w:r>
                      <w:r>
                        <w:rPr>
                          <w:rFonts w:hint="eastAsia" w:ascii="宋体" w:hAnsi="宋体" w:eastAsia="宋体" w:cs="宋体"/>
                          <w:spacing w:val="47"/>
                          <w:sz w:val="84"/>
                          <w:szCs w:val="84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sz w:val="84"/>
                          <w:szCs w:val="84"/>
                        </w:rPr>
                        <w:t>文</w:t>
                      </w:r>
                      <w:r>
                        <w:rPr>
                          <w:rFonts w:hint="eastAsia" w:ascii="宋体" w:hAnsi="宋体" w:eastAsia="宋体" w:cs="宋体"/>
                          <w:spacing w:val="48"/>
                          <w:sz w:val="84"/>
                          <w:szCs w:val="84"/>
                        </w:rPr>
                        <w:t xml:space="preserve"> </w:t>
                      </w:r>
                      <w:r>
                        <w:rPr>
                          <w:rFonts w:hint="eastAsia" w:ascii="宋体" w:hAnsi="宋体" w:eastAsia="宋体" w:cs="宋体"/>
                          <w:sz w:val="84"/>
                          <w:szCs w:val="84"/>
                        </w:rPr>
                        <w:t>件</w:t>
                      </w:r>
                    </w:p>
                  </w:txbxContent>
                </v:textbox>
              </v:shape>
            </w:pict>
          </mc:Fallback>
        </mc:AlternateContent>
      </w:r>
    </w:p>
    <w:p w14:paraId="2E873742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1BE67CA3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0250D19B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10BAC89E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65D17F49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70BE29FA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36D84508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4848E004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1BD341FD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41A4F19E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0B0E36A9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14174B4D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73CF716F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3FB8C573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5EE05A8D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1E06234E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42AA9B7E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0AA34350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0808BC5F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5EC786F7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6571D82B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1A3BF5C3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2CB7EF99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130449D7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7C29626F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60236804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24C88F91">
      <w:pPr>
        <w:spacing w:beforeLines="0" w:afterLines="0" w:line="241" w:lineRule="auto"/>
        <w:rPr>
          <w:rFonts w:hint="default"/>
          <w:sz w:val="21"/>
          <w:szCs w:val="21"/>
        </w:rPr>
      </w:pPr>
    </w:p>
    <w:p w14:paraId="6CC38598">
      <w:pPr>
        <w:spacing w:beforeLines="0" w:afterLines="0" w:line="242" w:lineRule="auto"/>
        <w:rPr>
          <w:rFonts w:hint="default"/>
          <w:sz w:val="21"/>
          <w:szCs w:val="21"/>
        </w:rPr>
      </w:pPr>
    </w:p>
    <w:p w14:paraId="702EFDDD">
      <w:pPr>
        <w:spacing w:beforeLines="0" w:afterLines="0" w:line="242" w:lineRule="auto"/>
        <w:rPr>
          <w:rFonts w:hint="default"/>
          <w:sz w:val="21"/>
          <w:szCs w:val="21"/>
        </w:rPr>
      </w:pPr>
    </w:p>
    <w:p w14:paraId="35DAE66E">
      <w:pPr>
        <w:spacing w:before="78" w:beforeLines="0" w:afterLines="0" w:line="222" w:lineRule="auto"/>
        <w:ind w:left="2494"/>
        <w:rPr>
          <w:rFonts w:hint="eastAsia" w:ascii="黑体" w:hAnsi="黑体" w:eastAsia="黑体" w:cs="黑体"/>
          <w:sz w:val="24"/>
          <w:szCs w:val="24"/>
        </w:rPr>
      </w:pPr>
      <w:r>
        <w:rPr>
          <w:rFonts w:hint="eastAsia" w:ascii="黑体" w:hAnsi="黑体" w:eastAsia="黑体" w:cs="黑体"/>
          <w:spacing w:val="-5"/>
          <w:sz w:val="24"/>
          <w:szCs w:val="24"/>
        </w:rPr>
        <w:t>供应商：</w:t>
      </w:r>
      <w:r>
        <w:rPr>
          <w:rFonts w:hint="eastAsia" w:ascii="黑体" w:hAnsi="黑体" w:eastAsia="黑体" w:cs="黑体"/>
          <w:spacing w:val="49"/>
          <w:sz w:val="24"/>
          <w:szCs w:val="24"/>
        </w:rPr>
        <w:t xml:space="preserve"> </w:t>
      </w:r>
      <w:r>
        <w:rPr>
          <w:rFonts w:hint="eastAsia" w:ascii="黑体" w:hAnsi="黑体" w:eastAsia="黑体" w:cs="黑体"/>
          <w:sz w:val="24"/>
          <w:szCs w:val="24"/>
          <w:u w:val="single" w:color="auto"/>
        </w:rPr>
        <w:t xml:space="preserve">                   </w:t>
      </w:r>
    </w:p>
    <w:p w14:paraId="25231DE2">
      <w:pPr>
        <w:tabs>
          <w:tab w:val="left" w:pos="3953"/>
        </w:tabs>
        <w:spacing w:before="128" w:beforeLines="0" w:afterLines="0" w:line="234" w:lineRule="auto"/>
        <w:ind w:left="3284"/>
        <w:rPr>
          <w:rFonts w:hint="eastAsia" w:ascii="黑体" w:hAnsi="黑体" w:eastAsia="黑体" w:cs="黑体"/>
          <w:sz w:val="29"/>
          <w:szCs w:val="29"/>
        </w:rPr>
      </w:pPr>
      <w:r>
        <w:rPr>
          <w:rFonts w:hint="eastAsia" w:ascii="黑体" w:hAnsi="黑体" w:eastAsia="黑体" w:cs="黑体"/>
          <w:sz w:val="29"/>
          <w:szCs w:val="29"/>
          <w:u w:val="single" w:color="auto"/>
        </w:rPr>
        <w:tab/>
      </w:r>
      <w:r>
        <w:rPr>
          <w:rFonts w:hint="eastAsia" w:ascii="黑体" w:hAnsi="黑体" w:eastAsia="黑体" w:cs="黑体"/>
          <w:spacing w:val="-10"/>
          <w:sz w:val="29"/>
          <w:szCs w:val="29"/>
        </w:rPr>
        <w:t>年</w:t>
      </w:r>
      <w:r>
        <w:rPr>
          <w:rFonts w:hint="eastAsia" w:ascii="黑体" w:hAnsi="黑体" w:eastAsia="黑体" w:cs="黑体"/>
          <w:spacing w:val="25"/>
          <w:sz w:val="29"/>
          <w:szCs w:val="29"/>
          <w:u w:val="single" w:color="auto"/>
        </w:rPr>
        <w:t xml:space="preserve">    </w:t>
      </w:r>
      <w:r>
        <w:rPr>
          <w:rFonts w:hint="eastAsia" w:ascii="黑体" w:hAnsi="黑体" w:eastAsia="黑体" w:cs="黑体"/>
          <w:spacing w:val="-10"/>
          <w:sz w:val="27"/>
          <w:szCs w:val="27"/>
        </w:rPr>
        <w:t>月</w:t>
      </w:r>
      <w:r>
        <w:rPr>
          <w:rFonts w:hint="eastAsia" w:ascii="黑体" w:hAnsi="黑体" w:eastAsia="黑体" w:cs="黑体"/>
          <w:spacing w:val="19"/>
          <w:sz w:val="27"/>
          <w:szCs w:val="27"/>
          <w:u w:val="single" w:color="auto"/>
        </w:rPr>
        <w:t xml:space="preserve">    </w:t>
      </w:r>
      <w:r>
        <w:rPr>
          <w:rFonts w:hint="eastAsia" w:ascii="黑体" w:hAnsi="黑体" w:eastAsia="黑体" w:cs="黑体"/>
          <w:spacing w:val="-81"/>
          <w:sz w:val="27"/>
          <w:szCs w:val="27"/>
        </w:rPr>
        <w:t xml:space="preserve"> </w:t>
      </w:r>
      <w:r>
        <w:rPr>
          <w:rFonts w:hint="eastAsia" w:ascii="黑体" w:hAnsi="黑体" w:eastAsia="黑体" w:cs="黑体"/>
          <w:spacing w:val="-10"/>
          <w:sz w:val="29"/>
          <w:szCs w:val="29"/>
        </w:rPr>
        <w:t>日</w:t>
      </w:r>
    </w:p>
    <w:p w14:paraId="0E0DDF05">
      <w:pPr>
        <w:spacing w:beforeLines="0" w:afterLines="0" w:line="234" w:lineRule="auto"/>
        <w:rPr>
          <w:rFonts w:hint="eastAsia" w:ascii="黑体" w:hAnsi="黑体" w:eastAsia="黑体" w:cs="黑体"/>
          <w:sz w:val="29"/>
          <w:szCs w:val="29"/>
        </w:rPr>
        <w:sectPr>
          <w:footerReference r:id="rId3" w:type="default"/>
          <w:pgSz w:w="11900" w:h="16820"/>
          <w:pgMar w:top="1429" w:right="1785" w:bottom="1020" w:left="1785" w:header="0" w:footer="903" w:gutter="0"/>
          <w:lnNumType w:countBy="0" w:distance="360"/>
          <w:cols w:space="720" w:num="1"/>
          <w:docGrid w:type="lines" w:linePitch="312" w:charSpace="0"/>
        </w:sectPr>
      </w:pPr>
    </w:p>
    <w:p w14:paraId="23496738">
      <w:pPr>
        <w:spacing w:before="45" w:beforeLines="0" w:afterLines="0" w:line="218" w:lineRule="auto"/>
        <w:ind w:left="3448"/>
        <w:outlineLvl w:val="4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b/>
          <w:spacing w:val="1"/>
          <w:sz w:val="23"/>
          <w:szCs w:val="23"/>
        </w:rPr>
        <w:t>一</w:t>
      </w:r>
      <w:r>
        <w:rPr>
          <w:rFonts w:hint="eastAsia" w:ascii="宋体" w:hAnsi="宋体" w:eastAsia="宋体" w:cs="宋体"/>
          <w:spacing w:val="-28"/>
          <w:sz w:val="23"/>
          <w:szCs w:val="23"/>
        </w:rPr>
        <w:t xml:space="preserve"> </w:t>
      </w:r>
      <w:r>
        <w:rPr>
          <w:rFonts w:hint="eastAsia" w:ascii="宋体" w:hAnsi="宋体" w:eastAsia="宋体" w:cs="宋体"/>
          <w:b/>
          <w:spacing w:val="1"/>
          <w:sz w:val="23"/>
          <w:szCs w:val="23"/>
        </w:rPr>
        <w:t>、报价表格式</w:t>
      </w:r>
    </w:p>
    <w:p w14:paraId="24424404">
      <w:pPr>
        <w:spacing w:beforeLines="0" w:afterLines="0" w:line="371" w:lineRule="auto"/>
        <w:rPr>
          <w:rFonts w:hint="default"/>
          <w:sz w:val="21"/>
          <w:szCs w:val="21"/>
        </w:rPr>
      </w:pPr>
    </w:p>
    <w:p w14:paraId="1113DFF9">
      <w:pPr>
        <w:spacing w:before="75" w:beforeLines="0" w:afterLines="0" w:line="218" w:lineRule="auto"/>
        <w:ind w:left="198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b/>
          <w:spacing w:val="9"/>
          <w:sz w:val="23"/>
          <w:szCs w:val="23"/>
        </w:rPr>
        <w:t>1-</w:t>
      </w:r>
      <w:r>
        <w:rPr>
          <w:rFonts w:hint="eastAsia" w:ascii="宋体" w:hAnsi="宋体" w:eastAsia="宋体" w:cs="宋体"/>
          <w:spacing w:val="-56"/>
          <w:sz w:val="23"/>
          <w:szCs w:val="23"/>
        </w:rPr>
        <w:t xml:space="preserve"> </w:t>
      </w:r>
      <w:r>
        <w:rPr>
          <w:rFonts w:hint="eastAsia" w:ascii="宋体" w:hAnsi="宋体" w:eastAsia="宋体" w:cs="宋体"/>
          <w:b/>
          <w:spacing w:val="9"/>
          <w:sz w:val="23"/>
          <w:szCs w:val="23"/>
        </w:rPr>
        <w:t>1报价表</w:t>
      </w:r>
    </w:p>
    <w:p w14:paraId="7F0CC141">
      <w:pPr>
        <w:spacing w:before="270" w:beforeLines="0" w:afterLines="0" w:line="227" w:lineRule="auto"/>
        <w:ind w:left="168"/>
        <w:rPr>
          <w:rFonts w:hint="default" w:ascii="宋体" w:hAnsi="宋体" w:eastAsia="宋体" w:cs="宋体"/>
          <w:sz w:val="23"/>
          <w:szCs w:val="23"/>
          <w:lang w:val="en-US"/>
        </w:rPr>
      </w:pPr>
      <w:r>
        <w:rPr>
          <w:rFonts w:hint="eastAsia" w:ascii="宋体" w:hAnsi="宋体" w:eastAsia="宋体" w:cs="宋体"/>
          <w:b/>
          <w:spacing w:val="-12"/>
          <w:position w:val="1"/>
          <w:sz w:val="23"/>
          <w:szCs w:val="23"/>
        </w:rPr>
        <w:t>项目名称：</w:t>
      </w:r>
      <w:r>
        <w:rPr>
          <w:rFonts w:hint="eastAsia" w:ascii="宋体" w:hAnsi="宋体" w:eastAsia="宋体" w:cs="宋体"/>
          <w:spacing w:val="-34"/>
          <w:position w:val="1"/>
          <w:sz w:val="23"/>
          <w:szCs w:val="23"/>
        </w:rPr>
        <w:t xml:space="preserve"> </w:t>
      </w:r>
      <w:r>
        <w:rPr>
          <w:rFonts w:hint="eastAsia" w:ascii="宋体" w:hAnsi="宋体" w:eastAsia="宋体" w:cs="宋体"/>
          <w:spacing w:val="76"/>
          <w:sz w:val="23"/>
          <w:szCs w:val="23"/>
          <w:u w:val="single" w:color="auto"/>
        </w:rPr>
        <w:t xml:space="preserve"> </w:t>
      </w:r>
      <w:r>
        <w:rPr>
          <w:rFonts w:hint="eastAsia" w:ascii="宋体" w:hAnsi="宋体" w:eastAsia="宋体" w:cs="宋体"/>
          <w:b/>
          <w:spacing w:val="-12"/>
          <w:sz w:val="23"/>
          <w:szCs w:val="23"/>
          <w:u w:val="single" w:color="auto"/>
          <w:lang w:val="en-US" w:eastAsia="zh-CN"/>
        </w:rPr>
        <w:t>市引江投资公司2025年职工健康体检项目___</w:t>
      </w:r>
    </w:p>
    <w:p w14:paraId="1ECBD768">
      <w:pPr>
        <w:spacing w:before="37" w:beforeLines="0" w:afterLines="0"/>
        <w:rPr>
          <w:rFonts w:hint="default"/>
          <w:sz w:val="21"/>
          <w:szCs w:val="21"/>
        </w:rPr>
      </w:pPr>
    </w:p>
    <w:p w14:paraId="117F7665">
      <w:pPr>
        <w:spacing w:before="37" w:beforeLines="0" w:afterLines="0"/>
        <w:rPr>
          <w:rFonts w:hint="default"/>
          <w:sz w:val="21"/>
          <w:szCs w:val="21"/>
        </w:rPr>
      </w:pPr>
    </w:p>
    <w:p w14:paraId="75ECB4C4">
      <w:pPr>
        <w:spacing w:before="37" w:beforeLines="0" w:afterLines="0"/>
        <w:rPr>
          <w:rFonts w:hint="default"/>
          <w:sz w:val="21"/>
          <w:szCs w:val="21"/>
        </w:rPr>
      </w:pPr>
    </w:p>
    <w:tbl>
      <w:tblPr>
        <w:tblStyle w:val="5"/>
        <w:tblW w:w="8512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63"/>
        <w:gridCol w:w="6049"/>
      </w:tblGrid>
      <w:tr w14:paraId="444ACD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267A6494">
            <w:pPr>
              <w:pStyle w:val="7"/>
              <w:spacing w:before="209" w:beforeLines="0" w:afterLines="0" w:line="219" w:lineRule="auto"/>
              <w:ind w:left="628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b/>
                <w:spacing w:val="-5"/>
                <w:sz w:val="24"/>
                <w:szCs w:val="24"/>
              </w:rPr>
              <w:t>供应商名称</w:t>
            </w:r>
          </w:p>
        </w:tc>
        <w:tc>
          <w:tcPr>
            <w:tcW w:w="6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  <w:tl2br w:val="nil"/>
              <w:tr2bl w:val="nil"/>
            </w:tcBorders>
            <w:noWrap w:val="0"/>
            <w:vAlign w:val="top"/>
          </w:tcPr>
          <w:p w14:paraId="72BCFBAF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</w:tr>
      <w:tr w14:paraId="09460E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8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1076775D">
            <w:pPr>
              <w:pStyle w:val="7"/>
              <w:spacing w:before="265" w:beforeLines="0" w:afterLines="0" w:line="218" w:lineRule="auto"/>
              <w:ind w:left="748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b/>
                <w:spacing w:val="1"/>
                <w:sz w:val="24"/>
                <w:szCs w:val="24"/>
              </w:rPr>
              <w:t>询价范围</w:t>
            </w:r>
          </w:p>
        </w:tc>
        <w:tc>
          <w:tcPr>
            <w:tcW w:w="6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  <w:tl2br w:val="nil"/>
              <w:tr2bl w:val="nil"/>
            </w:tcBorders>
            <w:noWrap w:val="0"/>
            <w:vAlign w:val="top"/>
          </w:tcPr>
          <w:p w14:paraId="183447C8">
            <w:pPr>
              <w:pStyle w:val="7"/>
              <w:spacing w:before="270" w:beforeLines="0" w:afterLines="0" w:line="219" w:lineRule="auto"/>
              <w:ind w:left="142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6"/>
                <w:sz w:val="24"/>
                <w:szCs w:val="24"/>
              </w:rPr>
              <w:t>全部</w:t>
            </w:r>
          </w:p>
        </w:tc>
      </w:tr>
      <w:tr w14:paraId="6A1A7A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7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79C51F66">
            <w:pPr>
              <w:pStyle w:val="7"/>
              <w:spacing w:before="78" w:beforeLines="0" w:afterLines="0" w:line="218" w:lineRule="auto"/>
              <w:ind w:left="988"/>
              <w:rPr>
                <w:rFonts w:hint="eastAsia"/>
                <w:b/>
                <w:spacing w:val="-5"/>
                <w:sz w:val="24"/>
                <w:szCs w:val="24"/>
              </w:rPr>
            </w:pPr>
          </w:p>
          <w:p w14:paraId="60EB223C">
            <w:pPr>
              <w:pStyle w:val="7"/>
              <w:spacing w:before="78" w:beforeLines="0" w:afterLines="0" w:line="218" w:lineRule="auto"/>
              <w:ind w:left="988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b/>
                <w:spacing w:val="-5"/>
                <w:sz w:val="24"/>
                <w:szCs w:val="24"/>
              </w:rPr>
              <w:t>报价</w:t>
            </w:r>
          </w:p>
          <w:p w14:paraId="0118D986">
            <w:pPr>
              <w:pStyle w:val="7"/>
              <w:spacing w:before="198" w:beforeLines="0" w:afterLines="0" w:line="219" w:lineRule="auto"/>
              <w:ind w:left="388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b/>
                <w:spacing w:val="3"/>
                <w:sz w:val="24"/>
                <w:szCs w:val="24"/>
              </w:rPr>
              <w:t>(详见备注说明)</w:t>
            </w:r>
          </w:p>
        </w:tc>
        <w:tc>
          <w:tcPr>
            <w:tcW w:w="6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  <w:tl2br w:val="nil"/>
              <w:tr2bl w:val="nil"/>
            </w:tcBorders>
            <w:noWrap w:val="0"/>
            <w:vAlign w:val="top"/>
          </w:tcPr>
          <w:p w14:paraId="34A2F3A8">
            <w:pPr>
              <w:pStyle w:val="7"/>
              <w:spacing w:before="78" w:beforeLines="0" w:afterLines="0" w:line="219" w:lineRule="auto"/>
              <w:rPr>
                <w:rFonts w:hint="eastAsia"/>
                <w:spacing w:val="-1"/>
                <w:sz w:val="24"/>
                <w:szCs w:val="24"/>
              </w:rPr>
            </w:pPr>
          </w:p>
          <w:p w14:paraId="29DA25F5">
            <w:pPr>
              <w:pStyle w:val="7"/>
              <w:spacing w:before="78" w:beforeLines="0" w:afterLines="0" w:line="219" w:lineRule="auto"/>
              <w:rPr>
                <w:rFonts w:hint="eastAsia"/>
                <w:spacing w:val="-1"/>
                <w:sz w:val="24"/>
                <w:szCs w:val="24"/>
              </w:rPr>
            </w:pPr>
          </w:p>
          <w:p w14:paraId="7A8CCBAF">
            <w:pPr>
              <w:pStyle w:val="7"/>
              <w:spacing w:before="78" w:beforeLines="0" w:afterLines="0" w:line="219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pacing w:val="-1"/>
                <w:sz w:val="24"/>
                <w:szCs w:val="24"/>
              </w:rPr>
              <w:t>人民币大写：</w:t>
            </w:r>
          </w:p>
        </w:tc>
      </w:tr>
      <w:tr w14:paraId="1F1BED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0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2C019A17">
            <w:pPr>
              <w:spacing w:beforeLines="0" w:afterLines="0" w:line="277" w:lineRule="auto"/>
              <w:rPr>
                <w:rFonts w:hint="default"/>
                <w:sz w:val="21"/>
                <w:szCs w:val="21"/>
              </w:rPr>
            </w:pPr>
          </w:p>
          <w:p w14:paraId="3485BC65">
            <w:pPr>
              <w:spacing w:beforeLines="0" w:afterLines="0" w:line="277" w:lineRule="auto"/>
              <w:rPr>
                <w:rFonts w:hint="default"/>
                <w:sz w:val="21"/>
                <w:szCs w:val="21"/>
              </w:rPr>
            </w:pPr>
          </w:p>
          <w:p w14:paraId="1A27C2C7">
            <w:pPr>
              <w:spacing w:beforeLines="0" w:afterLines="0" w:line="278" w:lineRule="auto"/>
              <w:rPr>
                <w:rFonts w:hint="default"/>
                <w:sz w:val="21"/>
                <w:szCs w:val="21"/>
              </w:rPr>
            </w:pPr>
          </w:p>
          <w:p w14:paraId="16735883">
            <w:pPr>
              <w:pStyle w:val="7"/>
              <w:spacing w:before="78" w:beforeLines="0" w:afterLines="0" w:line="219" w:lineRule="auto"/>
              <w:ind w:left="748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b/>
                <w:spacing w:val="2"/>
                <w:sz w:val="24"/>
                <w:szCs w:val="24"/>
              </w:rPr>
              <w:t>备注说明</w:t>
            </w:r>
          </w:p>
        </w:tc>
        <w:tc>
          <w:tcPr>
            <w:tcW w:w="6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2" w:space="0"/>
              <w:tl2br w:val="nil"/>
              <w:tr2bl w:val="nil"/>
            </w:tcBorders>
            <w:noWrap w:val="0"/>
            <w:vAlign w:val="top"/>
          </w:tcPr>
          <w:p w14:paraId="242D3F3F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</w:tr>
    </w:tbl>
    <w:p w14:paraId="197E32FF">
      <w:pPr>
        <w:spacing w:before="143" w:beforeLines="0" w:afterLines="0" w:line="219" w:lineRule="auto"/>
        <w:ind w:left="5635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spacing w:val="-4"/>
          <w:sz w:val="23"/>
          <w:szCs w:val="23"/>
        </w:rPr>
        <w:t>供应商公章：</w:t>
      </w:r>
    </w:p>
    <w:p w14:paraId="32422BE5">
      <w:pPr>
        <w:spacing w:before="189" w:beforeLines="0" w:afterLines="0" w:line="220" w:lineRule="auto"/>
        <w:ind w:left="5684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spacing w:val="-27"/>
          <w:sz w:val="23"/>
          <w:szCs w:val="23"/>
        </w:rPr>
        <w:t>日</w:t>
      </w:r>
      <w:r>
        <w:rPr>
          <w:rFonts w:hint="eastAsia" w:ascii="宋体" w:hAnsi="宋体" w:eastAsia="宋体" w:cs="宋体"/>
          <w:spacing w:val="6"/>
          <w:sz w:val="23"/>
          <w:szCs w:val="23"/>
        </w:rPr>
        <w:t xml:space="preserve">      </w:t>
      </w:r>
      <w:r>
        <w:rPr>
          <w:rFonts w:hint="eastAsia" w:ascii="宋体" w:hAnsi="宋体" w:eastAsia="宋体" w:cs="宋体"/>
          <w:spacing w:val="-27"/>
          <w:sz w:val="23"/>
          <w:szCs w:val="23"/>
        </w:rPr>
        <w:t>期：</w:t>
      </w:r>
    </w:p>
    <w:p w14:paraId="06E3460D">
      <w:pPr>
        <w:spacing w:before="57" w:beforeLines="0" w:afterLines="0" w:line="224" w:lineRule="auto"/>
        <w:ind w:left="78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b/>
          <w:spacing w:val="-7"/>
          <w:sz w:val="23"/>
          <w:szCs w:val="23"/>
        </w:rPr>
        <w:t>注</w:t>
      </w:r>
      <w:r>
        <w:rPr>
          <w:rFonts w:hint="eastAsia" w:ascii="宋体" w:hAnsi="宋体" w:eastAsia="宋体" w:cs="宋体"/>
          <w:spacing w:val="-55"/>
          <w:sz w:val="23"/>
          <w:szCs w:val="23"/>
        </w:rPr>
        <w:t xml:space="preserve"> </w:t>
      </w:r>
      <w:r>
        <w:rPr>
          <w:rFonts w:hint="eastAsia" w:ascii="宋体" w:hAnsi="宋体" w:eastAsia="宋体" w:cs="宋体"/>
          <w:b/>
          <w:spacing w:val="-7"/>
          <w:sz w:val="23"/>
          <w:szCs w:val="23"/>
        </w:rPr>
        <w:t>：</w:t>
      </w:r>
    </w:p>
    <w:p w14:paraId="171D4F8E">
      <w:pPr>
        <w:spacing w:before="234" w:beforeLines="0" w:afterLines="0" w:line="218" w:lineRule="auto"/>
        <w:ind w:left="588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b/>
          <w:spacing w:val="11"/>
          <w:sz w:val="23"/>
          <w:szCs w:val="23"/>
        </w:rPr>
        <w:t>1.本表内容根据询价文件要求包括了体检</w:t>
      </w:r>
      <w:r>
        <w:rPr>
          <w:rFonts w:hint="eastAsia" w:ascii="宋体" w:hAnsi="宋体" w:eastAsia="宋体" w:cs="宋体"/>
          <w:b/>
          <w:spacing w:val="10"/>
          <w:sz w:val="23"/>
          <w:szCs w:val="23"/>
        </w:rPr>
        <w:t>所有费用。</w:t>
      </w:r>
    </w:p>
    <w:p w14:paraId="620F2685">
      <w:pPr>
        <w:spacing w:beforeLines="0" w:afterLines="0" w:line="313" w:lineRule="auto"/>
        <w:rPr>
          <w:rFonts w:hint="default"/>
          <w:sz w:val="21"/>
          <w:szCs w:val="21"/>
        </w:rPr>
      </w:pPr>
    </w:p>
    <w:p w14:paraId="2DA6EC09">
      <w:pPr>
        <w:spacing w:before="76" w:beforeLines="0" w:afterLines="0" w:line="219" w:lineRule="auto"/>
        <w:ind w:left="588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b/>
          <w:spacing w:val="8"/>
          <w:sz w:val="23"/>
          <w:szCs w:val="23"/>
        </w:rPr>
        <w:t>2.特殊事项在备注中注明。</w:t>
      </w:r>
    </w:p>
    <w:p w14:paraId="7A84DB92">
      <w:pPr>
        <w:spacing w:beforeLines="0" w:afterLines="0" w:line="317" w:lineRule="auto"/>
        <w:rPr>
          <w:rFonts w:hint="default"/>
          <w:sz w:val="21"/>
          <w:szCs w:val="21"/>
        </w:rPr>
      </w:pPr>
    </w:p>
    <w:p w14:paraId="717C61B2">
      <w:pPr>
        <w:spacing w:before="264" w:beforeLines="0" w:afterLines="0" w:line="218" w:lineRule="auto"/>
        <w:ind w:left="213"/>
        <w:rPr>
          <w:rFonts w:hint="eastAsia" w:ascii="宋体" w:hAnsi="宋体" w:eastAsia="宋体" w:cs="宋体"/>
          <w:b/>
          <w:spacing w:val="23"/>
          <w:sz w:val="22"/>
          <w:szCs w:val="22"/>
        </w:rPr>
      </w:pPr>
    </w:p>
    <w:p w14:paraId="53BB6EBC">
      <w:pPr>
        <w:spacing w:before="264" w:beforeLines="0" w:afterLines="0" w:line="218" w:lineRule="auto"/>
        <w:ind w:left="213"/>
        <w:rPr>
          <w:rFonts w:hint="eastAsia" w:ascii="宋体" w:hAnsi="宋体" w:eastAsia="宋体" w:cs="宋体"/>
          <w:b/>
          <w:spacing w:val="23"/>
          <w:sz w:val="22"/>
          <w:szCs w:val="22"/>
        </w:rPr>
      </w:pPr>
    </w:p>
    <w:p w14:paraId="6EDCD738">
      <w:pPr>
        <w:spacing w:before="264" w:beforeLines="0" w:afterLines="0" w:line="218" w:lineRule="auto"/>
        <w:ind w:left="213"/>
        <w:rPr>
          <w:rFonts w:hint="eastAsia" w:ascii="宋体" w:hAnsi="宋体" w:eastAsia="宋体" w:cs="宋体"/>
          <w:b/>
          <w:spacing w:val="23"/>
          <w:sz w:val="22"/>
          <w:szCs w:val="22"/>
        </w:rPr>
      </w:pPr>
    </w:p>
    <w:p w14:paraId="2018F627">
      <w:pPr>
        <w:spacing w:before="264" w:beforeLines="0" w:afterLines="0" w:line="218" w:lineRule="auto"/>
        <w:ind w:left="213"/>
        <w:rPr>
          <w:rFonts w:hint="eastAsia" w:ascii="宋体" w:hAnsi="宋体" w:eastAsia="宋体" w:cs="宋体"/>
          <w:b/>
          <w:spacing w:val="23"/>
          <w:sz w:val="22"/>
          <w:szCs w:val="22"/>
        </w:rPr>
      </w:pPr>
    </w:p>
    <w:p w14:paraId="14F6EF69">
      <w:pPr>
        <w:spacing w:before="264" w:beforeLines="0" w:afterLines="0" w:line="218" w:lineRule="auto"/>
        <w:ind w:firstLine="267" w:firstLineChars="10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b/>
          <w:spacing w:val="23"/>
          <w:sz w:val="22"/>
          <w:szCs w:val="22"/>
        </w:rPr>
        <w:t>1-</w:t>
      </w:r>
      <w:r>
        <w:rPr>
          <w:rFonts w:hint="eastAsia" w:ascii="宋体" w:hAnsi="宋体" w:eastAsia="宋体" w:cs="宋体"/>
          <w:spacing w:val="-60"/>
          <w:sz w:val="22"/>
          <w:szCs w:val="22"/>
        </w:rPr>
        <w:t xml:space="preserve"> </w:t>
      </w:r>
      <w:r>
        <w:rPr>
          <w:rFonts w:hint="eastAsia" w:ascii="宋体" w:hAnsi="宋体" w:eastAsia="宋体" w:cs="宋体"/>
          <w:b/>
          <w:spacing w:val="23"/>
          <w:sz w:val="22"/>
          <w:szCs w:val="22"/>
        </w:rPr>
        <w:t>2分项报价明细表</w:t>
      </w:r>
    </w:p>
    <w:p w14:paraId="249D0E77">
      <w:pPr>
        <w:spacing w:before="72" w:beforeLines="0" w:afterLines="0" w:line="219" w:lineRule="auto"/>
        <w:jc w:val="center"/>
        <w:rPr>
          <w:rFonts w:hint="eastAsia" w:ascii="宋体" w:hAnsi="宋体" w:eastAsia="宋体" w:cs="宋体"/>
          <w:spacing w:val="16"/>
          <w:sz w:val="22"/>
          <w:szCs w:val="22"/>
        </w:rPr>
      </w:pPr>
      <w:r>
        <w:rPr>
          <w:rFonts w:hint="eastAsia" w:ascii="宋体" w:hAnsi="宋体" w:eastAsia="宋体" w:cs="宋体"/>
          <w:spacing w:val="16"/>
          <w:sz w:val="22"/>
          <w:szCs w:val="22"/>
        </w:rPr>
        <w:t>(仅供参考，供应商可自行制作格式</w:t>
      </w:r>
      <w:r>
        <w:rPr>
          <w:rFonts w:hint="eastAsia" w:ascii="宋体" w:hAnsi="宋体" w:eastAsia="宋体" w:cs="宋体"/>
          <w:spacing w:val="16"/>
          <w:sz w:val="22"/>
          <w:szCs w:val="22"/>
          <w:lang w:eastAsia="zh-CN"/>
        </w:rPr>
        <w:t>，</w:t>
      </w:r>
      <w:r>
        <w:rPr>
          <w:rFonts w:hint="eastAsia" w:ascii="宋体" w:hAnsi="宋体" w:eastAsia="宋体" w:cs="宋体"/>
          <w:spacing w:val="16"/>
          <w:sz w:val="22"/>
          <w:szCs w:val="22"/>
          <w:lang w:val="en-US" w:eastAsia="zh-CN"/>
        </w:rPr>
        <w:t>自选项目部分可做增添</w:t>
      </w:r>
      <w:r>
        <w:rPr>
          <w:rFonts w:hint="eastAsia" w:ascii="宋体" w:hAnsi="宋体" w:eastAsia="宋体" w:cs="宋体"/>
          <w:spacing w:val="16"/>
          <w:sz w:val="22"/>
          <w:szCs w:val="22"/>
        </w:rPr>
        <w:t>)</w:t>
      </w:r>
    </w:p>
    <w:tbl>
      <w:tblPr>
        <w:tblStyle w:val="5"/>
        <w:tblW w:w="100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4"/>
        <w:gridCol w:w="2245"/>
        <w:gridCol w:w="6256"/>
        <w:gridCol w:w="615"/>
      </w:tblGrid>
      <w:tr w14:paraId="1645A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0020" w:type="dxa"/>
            <w:gridSpan w:val="4"/>
            <w:vAlign w:val="center"/>
          </w:tcPr>
          <w:p w14:paraId="2677D1E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必选项目</w:t>
            </w:r>
          </w:p>
        </w:tc>
      </w:tr>
      <w:tr w14:paraId="132FFC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904" w:type="dxa"/>
            <w:vAlign w:val="center"/>
          </w:tcPr>
          <w:p w14:paraId="48E6546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分类</w:t>
            </w:r>
          </w:p>
        </w:tc>
        <w:tc>
          <w:tcPr>
            <w:tcW w:w="2245" w:type="dxa"/>
            <w:vAlign w:val="center"/>
          </w:tcPr>
          <w:p w14:paraId="39DADE3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项目</w:t>
            </w:r>
          </w:p>
        </w:tc>
        <w:tc>
          <w:tcPr>
            <w:tcW w:w="6256" w:type="dxa"/>
            <w:vAlign w:val="center"/>
          </w:tcPr>
          <w:p w14:paraId="1A037E6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检查意义</w:t>
            </w:r>
          </w:p>
        </w:tc>
        <w:tc>
          <w:tcPr>
            <w:tcW w:w="615" w:type="dxa"/>
            <w:vAlign w:val="center"/>
          </w:tcPr>
          <w:p w14:paraId="6A0822D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报价</w:t>
            </w:r>
          </w:p>
        </w:tc>
      </w:tr>
      <w:tr w14:paraId="2CCD7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904" w:type="dxa"/>
            <w:vMerge w:val="restart"/>
            <w:textDirection w:val="tbRlV"/>
            <w:vAlign w:val="center"/>
          </w:tcPr>
          <w:p w14:paraId="7EF4EBEC">
            <w:pPr>
              <w:widowControl/>
              <w:ind w:left="113" w:right="113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化验检查</w:t>
            </w:r>
          </w:p>
        </w:tc>
        <w:tc>
          <w:tcPr>
            <w:tcW w:w="2245" w:type="dxa"/>
            <w:vAlign w:val="center"/>
          </w:tcPr>
          <w:p w14:paraId="742B308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血常规</w:t>
            </w:r>
          </w:p>
        </w:tc>
        <w:tc>
          <w:tcPr>
            <w:tcW w:w="6256" w:type="dxa"/>
            <w:vAlign w:val="center"/>
          </w:tcPr>
          <w:p w14:paraId="4FCBCF6A">
            <w:pP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诊断有无感染及血液系统疾病。</w:t>
            </w:r>
          </w:p>
        </w:tc>
        <w:tc>
          <w:tcPr>
            <w:tcW w:w="615" w:type="dxa"/>
            <w:vAlign w:val="center"/>
          </w:tcPr>
          <w:p w14:paraId="4DF1DDD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18FBA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904" w:type="dxa"/>
            <w:vMerge w:val="continue"/>
            <w:vAlign w:val="center"/>
          </w:tcPr>
          <w:p w14:paraId="11B4E369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vAlign w:val="center"/>
          </w:tcPr>
          <w:p w14:paraId="38A8180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空腹血糖</w:t>
            </w:r>
          </w:p>
        </w:tc>
        <w:tc>
          <w:tcPr>
            <w:tcW w:w="6256" w:type="dxa"/>
            <w:vAlign w:val="center"/>
          </w:tcPr>
          <w:p w14:paraId="7082685D">
            <w:pP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空腹血糖,了解血糖情况,诊断糖尿病。</w:t>
            </w:r>
          </w:p>
        </w:tc>
        <w:tc>
          <w:tcPr>
            <w:tcW w:w="615" w:type="dxa"/>
            <w:vAlign w:val="center"/>
          </w:tcPr>
          <w:p w14:paraId="7413C57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33FFA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04" w:type="dxa"/>
            <w:vMerge w:val="continue"/>
            <w:vAlign w:val="center"/>
          </w:tcPr>
          <w:p w14:paraId="1946CD2E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vAlign w:val="center"/>
          </w:tcPr>
          <w:p w14:paraId="778AA5F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糖基化血红蛋白</w:t>
            </w:r>
          </w:p>
        </w:tc>
        <w:tc>
          <w:tcPr>
            <w:tcW w:w="6256" w:type="dxa"/>
            <w:vAlign w:val="center"/>
          </w:tcPr>
          <w:p w14:paraId="4231B672">
            <w:pP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有效反应糖尿病患者在过去1-2个月内血糖控制的情况，是衡量血糖控制的金标准，是诊断和管理糖尿病的重要手段。</w:t>
            </w:r>
          </w:p>
        </w:tc>
        <w:tc>
          <w:tcPr>
            <w:tcW w:w="615" w:type="dxa"/>
            <w:vAlign w:val="center"/>
          </w:tcPr>
          <w:p w14:paraId="7192EE4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1ECC5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904" w:type="dxa"/>
            <w:vMerge w:val="continue"/>
            <w:vAlign w:val="center"/>
          </w:tcPr>
          <w:p w14:paraId="6FEDAC39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vAlign w:val="center"/>
          </w:tcPr>
          <w:p w14:paraId="4DB851F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血脂八项</w:t>
            </w:r>
          </w:p>
        </w:tc>
        <w:tc>
          <w:tcPr>
            <w:tcW w:w="6256" w:type="dxa"/>
            <w:vAlign w:val="center"/>
          </w:tcPr>
          <w:p w14:paraId="71DAEE0A">
            <w:pP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血脂代谢紊乱、动脉粥样硬化等危险预测与营养学评价。</w:t>
            </w:r>
          </w:p>
        </w:tc>
        <w:tc>
          <w:tcPr>
            <w:tcW w:w="615" w:type="dxa"/>
            <w:vAlign w:val="center"/>
          </w:tcPr>
          <w:p w14:paraId="1313D59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6D4984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  <w:jc w:val="center"/>
        </w:trPr>
        <w:tc>
          <w:tcPr>
            <w:tcW w:w="904" w:type="dxa"/>
            <w:vMerge w:val="continue"/>
            <w:vAlign w:val="center"/>
          </w:tcPr>
          <w:p w14:paraId="31097C18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vAlign w:val="center"/>
          </w:tcPr>
          <w:p w14:paraId="075A71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肝功能十一项</w:t>
            </w:r>
          </w:p>
        </w:tc>
        <w:tc>
          <w:tcPr>
            <w:tcW w:w="6256" w:type="dxa"/>
            <w:vAlign w:val="center"/>
          </w:tcPr>
          <w:p w14:paraId="407EE6FF">
            <w:pP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肝脏功能情况，是否有肝功能损害、胆道阻塞等。</w:t>
            </w:r>
          </w:p>
        </w:tc>
        <w:tc>
          <w:tcPr>
            <w:tcW w:w="615" w:type="dxa"/>
            <w:vAlign w:val="center"/>
          </w:tcPr>
          <w:p w14:paraId="38CD88F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033149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904" w:type="dxa"/>
            <w:vMerge w:val="continue"/>
            <w:vAlign w:val="center"/>
          </w:tcPr>
          <w:p w14:paraId="53CF7F3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vAlign w:val="center"/>
          </w:tcPr>
          <w:p w14:paraId="564F182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肾功能三项</w:t>
            </w:r>
          </w:p>
        </w:tc>
        <w:tc>
          <w:tcPr>
            <w:tcW w:w="6256" w:type="dxa"/>
            <w:vAlign w:val="center"/>
          </w:tcPr>
          <w:p w14:paraId="2A0CCC34">
            <w:pP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肾脏代谢、排泄功能等情况是否正常。</w:t>
            </w:r>
          </w:p>
        </w:tc>
        <w:tc>
          <w:tcPr>
            <w:tcW w:w="615" w:type="dxa"/>
            <w:vAlign w:val="center"/>
          </w:tcPr>
          <w:p w14:paraId="75D37BC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2EFAE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904" w:type="dxa"/>
            <w:vMerge w:val="continue"/>
            <w:vAlign w:val="center"/>
          </w:tcPr>
          <w:p w14:paraId="6A657B7F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vAlign w:val="center"/>
          </w:tcPr>
          <w:p w14:paraId="1AD6E6D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AFP 、CEA</w:t>
            </w:r>
          </w:p>
        </w:tc>
        <w:tc>
          <w:tcPr>
            <w:tcW w:w="6256" w:type="dxa"/>
            <w:vAlign w:val="center"/>
          </w:tcPr>
          <w:p w14:paraId="382BB56A">
            <w:pP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辅助诊断原发性肝癌，疗效检测；辅助诊断结肠癌、直肠癌、乳腺癌、肺癌，疗效检测。</w:t>
            </w:r>
          </w:p>
        </w:tc>
        <w:tc>
          <w:tcPr>
            <w:tcW w:w="615" w:type="dxa"/>
            <w:vAlign w:val="center"/>
          </w:tcPr>
          <w:p w14:paraId="456E5B3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1BB52D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  <w:jc w:val="center"/>
        </w:trPr>
        <w:tc>
          <w:tcPr>
            <w:tcW w:w="904" w:type="dxa"/>
            <w:vMerge w:val="continue"/>
            <w:vAlign w:val="center"/>
          </w:tcPr>
          <w:p w14:paraId="63CB0080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tcBorders>
              <w:bottom w:val="single" w:color="auto" w:sz="4" w:space="0"/>
            </w:tcBorders>
            <w:vAlign w:val="center"/>
          </w:tcPr>
          <w:p w14:paraId="171C27A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PSA（男）</w:t>
            </w:r>
          </w:p>
        </w:tc>
        <w:tc>
          <w:tcPr>
            <w:tcW w:w="6256" w:type="dxa"/>
            <w:tcBorders>
              <w:bottom w:val="single" w:color="auto" w:sz="4" w:space="0"/>
            </w:tcBorders>
            <w:vAlign w:val="center"/>
          </w:tcPr>
          <w:p w14:paraId="7459D4C4">
            <w:pP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前列腺癌早期检测指标，良性前列腺增生、前列腺炎、前列腺肥大也可升高。</w:t>
            </w:r>
          </w:p>
        </w:tc>
        <w:tc>
          <w:tcPr>
            <w:tcW w:w="615" w:type="dxa"/>
            <w:vAlign w:val="center"/>
          </w:tcPr>
          <w:p w14:paraId="6F20587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3A983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904" w:type="dxa"/>
            <w:vMerge w:val="continue"/>
            <w:vAlign w:val="center"/>
          </w:tcPr>
          <w:p w14:paraId="0A7E8EBE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tcBorders>
              <w:bottom w:val="single" w:color="auto" w:sz="4" w:space="0"/>
            </w:tcBorders>
            <w:vAlign w:val="center"/>
          </w:tcPr>
          <w:p w14:paraId="7FB93AB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尿常规</w:t>
            </w:r>
          </w:p>
        </w:tc>
        <w:tc>
          <w:tcPr>
            <w:tcW w:w="6256" w:type="dxa"/>
            <w:tcBorders>
              <w:bottom w:val="single" w:color="auto" w:sz="4" w:space="0"/>
            </w:tcBorders>
            <w:vAlign w:val="center"/>
          </w:tcPr>
          <w:p w14:paraId="0CDBD302">
            <w:pPr>
              <w:rPr>
                <w:rFonts w:hint="eastAsia" w:asciiTheme="minorEastAsia" w:hAnsiTheme="minorEastAsia" w:eastAsiaTheme="minorEastAsia" w:cs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尿路感染、尿蛋白及尿糖等泌尿系统疾病。</w:t>
            </w:r>
          </w:p>
        </w:tc>
        <w:tc>
          <w:tcPr>
            <w:tcW w:w="615" w:type="dxa"/>
            <w:vAlign w:val="center"/>
          </w:tcPr>
          <w:p w14:paraId="71506D5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609C0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904" w:type="dxa"/>
            <w:vMerge w:val="continue"/>
            <w:vAlign w:val="center"/>
          </w:tcPr>
          <w:p w14:paraId="29A398DB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tcBorders>
              <w:bottom w:val="single" w:color="auto" w:sz="4" w:space="0"/>
            </w:tcBorders>
            <w:vAlign w:val="center"/>
          </w:tcPr>
          <w:p w14:paraId="5706A33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大便常规+潜血</w:t>
            </w:r>
          </w:p>
        </w:tc>
        <w:tc>
          <w:tcPr>
            <w:tcW w:w="6256" w:type="dxa"/>
            <w:tcBorders>
              <w:bottom w:val="single" w:color="auto" w:sz="4" w:space="0"/>
            </w:tcBorders>
            <w:vAlign w:val="center"/>
          </w:tcPr>
          <w:p w14:paraId="16A83B15">
            <w:pP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检测各种原因所致的消化道出血,消化道恶性肿瘤早期诊断的重要筛查指标。</w:t>
            </w:r>
          </w:p>
        </w:tc>
        <w:tc>
          <w:tcPr>
            <w:tcW w:w="615" w:type="dxa"/>
            <w:vAlign w:val="center"/>
          </w:tcPr>
          <w:p w14:paraId="6989B9D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37F95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904" w:type="dxa"/>
            <w:vMerge w:val="continue"/>
            <w:vAlign w:val="center"/>
          </w:tcPr>
          <w:p w14:paraId="746AC8E4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tcBorders>
              <w:bottom w:val="single" w:color="auto" w:sz="4" w:space="0"/>
            </w:tcBorders>
            <w:vAlign w:val="center"/>
          </w:tcPr>
          <w:p w14:paraId="493AD75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人体成分分析</w:t>
            </w:r>
          </w:p>
        </w:tc>
        <w:tc>
          <w:tcPr>
            <w:tcW w:w="6256" w:type="dxa"/>
            <w:tcBorders>
              <w:bottom w:val="single" w:color="auto" w:sz="4" w:space="0"/>
            </w:tcBorders>
            <w:vAlign w:val="center"/>
          </w:tcPr>
          <w:p w14:paraId="1BC4CE2C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进行体重、脂肪百分比、基础代谢量的测量。</w:t>
            </w:r>
          </w:p>
        </w:tc>
        <w:tc>
          <w:tcPr>
            <w:tcW w:w="615" w:type="dxa"/>
            <w:vAlign w:val="center"/>
          </w:tcPr>
          <w:p w14:paraId="303C5A2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094152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904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4C60CAC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B超</w:t>
            </w:r>
          </w:p>
        </w:tc>
        <w:tc>
          <w:tcPr>
            <w:tcW w:w="2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100D8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肝胆胰脾双肾</w:t>
            </w:r>
          </w:p>
        </w:tc>
        <w:tc>
          <w:tcPr>
            <w:tcW w:w="625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687F799">
            <w:pP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了解各脏器腺体的大小形态、结构、质地，观察有无占位、弥漫性病变、结石、积液、增生、囊肿、钙化、血流(彩超)等异常及其与周围组织器官、淋巴结等的关系。</w:t>
            </w:r>
          </w:p>
        </w:tc>
        <w:tc>
          <w:tcPr>
            <w:tcW w:w="615" w:type="dxa"/>
            <w:tcBorders>
              <w:left w:val="single" w:color="auto" w:sz="4" w:space="0"/>
            </w:tcBorders>
            <w:vAlign w:val="center"/>
          </w:tcPr>
          <w:p w14:paraId="06A2791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04029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904" w:type="dxa"/>
            <w:vMerge w:val="continue"/>
            <w:tcBorders>
              <w:right w:val="single" w:color="auto" w:sz="4" w:space="0"/>
            </w:tcBorders>
            <w:vAlign w:val="center"/>
          </w:tcPr>
          <w:p w14:paraId="14D4915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7E5B284C"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前列腺</w:t>
            </w:r>
          </w:p>
        </w:tc>
        <w:tc>
          <w:tcPr>
            <w:tcW w:w="62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3D5BAE3">
            <w:pP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615" w:type="dxa"/>
            <w:tcBorders>
              <w:left w:val="single" w:color="auto" w:sz="4" w:space="0"/>
            </w:tcBorders>
            <w:vAlign w:val="center"/>
          </w:tcPr>
          <w:p w14:paraId="36F5E6B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53012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904" w:type="dxa"/>
            <w:vMerge w:val="continue"/>
            <w:tcBorders>
              <w:right w:val="single" w:color="auto" w:sz="4" w:space="0"/>
            </w:tcBorders>
            <w:vAlign w:val="center"/>
          </w:tcPr>
          <w:p w14:paraId="7E2C1DF4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tcBorders>
              <w:right w:val="single" w:color="auto" w:sz="4" w:space="0"/>
            </w:tcBorders>
            <w:vAlign w:val="center"/>
          </w:tcPr>
          <w:p w14:paraId="2EC52C9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子宫附件</w:t>
            </w:r>
          </w:p>
        </w:tc>
        <w:tc>
          <w:tcPr>
            <w:tcW w:w="62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A69DA2F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615" w:type="dxa"/>
            <w:tcBorders>
              <w:left w:val="single" w:color="auto" w:sz="4" w:space="0"/>
            </w:tcBorders>
            <w:vAlign w:val="center"/>
          </w:tcPr>
          <w:p w14:paraId="361D3B9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68011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  <w:jc w:val="center"/>
        </w:trPr>
        <w:tc>
          <w:tcPr>
            <w:tcW w:w="904" w:type="dxa"/>
            <w:vMerge w:val="continue"/>
            <w:tcBorders>
              <w:right w:val="single" w:color="auto" w:sz="4" w:space="0"/>
            </w:tcBorders>
            <w:vAlign w:val="center"/>
          </w:tcPr>
          <w:p w14:paraId="25D73366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tcBorders>
              <w:right w:val="single" w:color="auto" w:sz="4" w:space="0"/>
            </w:tcBorders>
            <w:vAlign w:val="center"/>
          </w:tcPr>
          <w:p w14:paraId="7898275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kern w:val="0"/>
                <w:sz w:val="18"/>
                <w:szCs w:val="18"/>
                <w:lang w:val="en-US" w:eastAsia="zh-CN"/>
              </w:rPr>
              <w:t>甲状腺</w:t>
            </w:r>
          </w:p>
        </w:tc>
        <w:tc>
          <w:tcPr>
            <w:tcW w:w="62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F9549D7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615" w:type="dxa"/>
            <w:tcBorders>
              <w:left w:val="single" w:color="auto" w:sz="4" w:space="0"/>
            </w:tcBorders>
            <w:vAlign w:val="center"/>
          </w:tcPr>
          <w:p w14:paraId="3D80B62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4AB0C1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  <w:jc w:val="center"/>
        </w:trPr>
        <w:tc>
          <w:tcPr>
            <w:tcW w:w="904" w:type="dxa"/>
            <w:vMerge w:val="continue"/>
            <w:tcBorders>
              <w:right w:val="single" w:color="auto" w:sz="4" w:space="0"/>
            </w:tcBorders>
            <w:vAlign w:val="center"/>
          </w:tcPr>
          <w:p w14:paraId="0D51C319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tcBorders>
              <w:right w:val="single" w:color="auto" w:sz="4" w:space="0"/>
            </w:tcBorders>
            <w:vAlign w:val="center"/>
          </w:tcPr>
          <w:p w14:paraId="4425872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乳腺</w:t>
            </w:r>
          </w:p>
        </w:tc>
        <w:tc>
          <w:tcPr>
            <w:tcW w:w="6256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E0FFC25">
            <w:pP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615" w:type="dxa"/>
            <w:tcBorders>
              <w:left w:val="single" w:color="auto" w:sz="4" w:space="0"/>
            </w:tcBorders>
            <w:vAlign w:val="center"/>
          </w:tcPr>
          <w:p w14:paraId="2B1BA7F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722D6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904" w:type="dxa"/>
            <w:vMerge w:val="restart"/>
            <w:vAlign w:val="center"/>
          </w:tcPr>
          <w:p w14:paraId="1537780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妇检</w:t>
            </w:r>
          </w:p>
        </w:tc>
        <w:tc>
          <w:tcPr>
            <w:tcW w:w="2245" w:type="dxa"/>
            <w:vAlign w:val="center"/>
          </w:tcPr>
          <w:p w14:paraId="6E09FB3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妇科</w:t>
            </w:r>
          </w:p>
        </w:tc>
        <w:tc>
          <w:tcPr>
            <w:tcW w:w="6256" w:type="dxa"/>
            <w:tcBorders>
              <w:top w:val="single" w:color="auto" w:sz="6" w:space="0"/>
            </w:tcBorders>
            <w:vAlign w:val="center"/>
          </w:tcPr>
          <w:p w14:paraId="10B363F0">
            <w:pPr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筛查妇科常见疾病</w:t>
            </w:r>
          </w:p>
        </w:tc>
        <w:tc>
          <w:tcPr>
            <w:tcW w:w="615" w:type="dxa"/>
            <w:vAlign w:val="center"/>
          </w:tcPr>
          <w:p w14:paraId="132503A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46C1E7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904" w:type="dxa"/>
            <w:vMerge w:val="continue"/>
            <w:vAlign w:val="center"/>
          </w:tcPr>
          <w:p w14:paraId="48823DE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vAlign w:val="center"/>
          </w:tcPr>
          <w:p w14:paraId="4238B0A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宫颈脱落细胞学(TCT)</w:t>
            </w:r>
          </w:p>
        </w:tc>
        <w:tc>
          <w:tcPr>
            <w:tcW w:w="6256" w:type="dxa"/>
            <w:tcBorders>
              <w:top w:val="single" w:color="auto" w:sz="6" w:space="0"/>
            </w:tcBorders>
            <w:vAlign w:val="center"/>
          </w:tcPr>
          <w:p w14:paraId="59632C9E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筛查宫颈病变情况</w:t>
            </w:r>
          </w:p>
        </w:tc>
        <w:tc>
          <w:tcPr>
            <w:tcW w:w="615" w:type="dxa"/>
            <w:vAlign w:val="center"/>
          </w:tcPr>
          <w:p w14:paraId="41356C6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676D8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5" w:hRule="atLeast"/>
          <w:jc w:val="center"/>
        </w:trPr>
        <w:tc>
          <w:tcPr>
            <w:tcW w:w="904" w:type="dxa"/>
            <w:vAlign w:val="center"/>
          </w:tcPr>
          <w:p w14:paraId="0993D11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心电心功能检查</w:t>
            </w:r>
          </w:p>
        </w:tc>
        <w:tc>
          <w:tcPr>
            <w:tcW w:w="2245" w:type="dxa"/>
            <w:vAlign w:val="center"/>
          </w:tcPr>
          <w:p w14:paraId="6E3373A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心电图</w:t>
            </w:r>
          </w:p>
        </w:tc>
        <w:tc>
          <w:tcPr>
            <w:tcW w:w="6256" w:type="dxa"/>
            <w:tcBorders>
              <w:top w:val="single" w:color="auto" w:sz="6" w:space="0"/>
            </w:tcBorders>
            <w:vAlign w:val="center"/>
          </w:tcPr>
          <w:p w14:paraId="57DEE9E0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初筛心律失常、心肌肥大、心肌缺血、心肌梗塞等病症。</w:t>
            </w:r>
          </w:p>
        </w:tc>
        <w:tc>
          <w:tcPr>
            <w:tcW w:w="615" w:type="dxa"/>
            <w:vAlign w:val="center"/>
          </w:tcPr>
          <w:p w14:paraId="0A2F906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73319A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904" w:type="dxa"/>
            <w:vMerge w:val="restart"/>
            <w:vAlign w:val="center"/>
          </w:tcPr>
          <w:p w14:paraId="0CDE29A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合计</w:t>
            </w:r>
          </w:p>
        </w:tc>
        <w:tc>
          <w:tcPr>
            <w:tcW w:w="2245" w:type="dxa"/>
            <w:vAlign w:val="center"/>
          </w:tcPr>
          <w:p w14:paraId="63ADC6B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男</w:t>
            </w:r>
          </w:p>
        </w:tc>
        <w:tc>
          <w:tcPr>
            <w:tcW w:w="6871" w:type="dxa"/>
            <w:gridSpan w:val="2"/>
            <w:vAlign w:val="center"/>
          </w:tcPr>
          <w:p w14:paraId="633207A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</w:tr>
      <w:tr w14:paraId="3E3D2D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904" w:type="dxa"/>
            <w:vMerge w:val="continue"/>
            <w:vAlign w:val="center"/>
          </w:tcPr>
          <w:p w14:paraId="3B7CD1B3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245" w:type="dxa"/>
            <w:vAlign w:val="center"/>
          </w:tcPr>
          <w:p w14:paraId="3257A15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女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未婚、已婚）</w:t>
            </w:r>
          </w:p>
        </w:tc>
        <w:tc>
          <w:tcPr>
            <w:tcW w:w="6871" w:type="dxa"/>
            <w:gridSpan w:val="2"/>
            <w:vAlign w:val="center"/>
          </w:tcPr>
          <w:p w14:paraId="440BF6D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</w:tr>
    </w:tbl>
    <w:tbl>
      <w:tblPr>
        <w:tblStyle w:val="5"/>
        <w:tblpPr w:leftFromText="180" w:rightFromText="180" w:vertAnchor="text" w:horzAnchor="margin" w:tblpX="-636" w:tblpY="143"/>
        <w:tblW w:w="999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"/>
        <w:gridCol w:w="2130"/>
        <w:gridCol w:w="2015"/>
        <w:gridCol w:w="889"/>
        <w:gridCol w:w="3467"/>
        <w:gridCol w:w="622"/>
      </w:tblGrid>
      <w:tr w14:paraId="49A6A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999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048C6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自选项目</w:t>
            </w:r>
          </w:p>
        </w:tc>
      </w:tr>
      <w:tr w14:paraId="387F66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1A8BE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B3563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自选分类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57B96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项目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9B2B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单项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报价</w:t>
            </w: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72432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检查意义</w:t>
            </w:r>
          </w:p>
        </w:tc>
        <w:tc>
          <w:tcPr>
            <w:tcW w:w="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A3ACC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合计报价</w:t>
            </w:r>
          </w:p>
        </w:tc>
      </w:tr>
      <w:tr w14:paraId="24276B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8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840C6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1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A9E342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甲状腺功能检查</w:t>
            </w: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722C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甲状腺功能五项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ADD98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242CA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判断有无甲状腺机能亢进或减退等疾病。</w:t>
            </w:r>
          </w:p>
        </w:tc>
        <w:tc>
          <w:tcPr>
            <w:tcW w:w="622" w:type="dxa"/>
            <w:tcBorders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D229732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69B49A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8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1DD5F2">
            <w:pPr>
              <w:widowControl/>
              <w:jc w:val="center"/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</w:pPr>
          </w:p>
          <w:p w14:paraId="1D7BC988">
            <w:pPr>
              <w:widowControl/>
              <w:jc w:val="center"/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</w:pPr>
          </w:p>
          <w:p w14:paraId="4BB247A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1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BD28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  <w:p w14:paraId="61BCA56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  <w:p w14:paraId="32A45B1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心血管疾病筛查(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一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03E8F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颈动脉彩超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8AD23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C11DD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了解血管内斑块、血管狭窄、血流改变等。</w:t>
            </w:r>
          </w:p>
        </w:tc>
        <w:tc>
          <w:tcPr>
            <w:tcW w:w="6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E98AA0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4B3C59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87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6A448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AB57E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FD7AB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动脉硬化检测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84388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039D4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血管动脉硬化疾病评估。</w:t>
            </w:r>
          </w:p>
        </w:tc>
        <w:tc>
          <w:tcPr>
            <w:tcW w:w="6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BB542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616E1A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F2B79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D2CE5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15E0B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同型半胱氨酸（酶循环法）</w:t>
            </w:r>
          </w:p>
        </w:tc>
        <w:tc>
          <w:tcPr>
            <w:tcW w:w="8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4B22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0FA697">
            <w:pP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是脑卒中、冠状动脉粥样硬化、老年痴呆、静脉栓塞等心脑血管疾病的危险因素。</w:t>
            </w:r>
          </w:p>
        </w:tc>
        <w:tc>
          <w:tcPr>
            <w:tcW w:w="6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247E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185C44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3" w:hRule="atLeast"/>
        </w:trPr>
        <w:tc>
          <w:tcPr>
            <w:tcW w:w="8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7F61B8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1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4E533A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心血管疾病筛查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二）</w:t>
            </w: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9B9D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心脏彩色多普勒超声、左心功能测定（超声计算机图文报告）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AABC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9F4CD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了解心脏的结构、功能。</w:t>
            </w:r>
          </w:p>
        </w:tc>
        <w:tc>
          <w:tcPr>
            <w:tcW w:w="6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FF67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01F5C8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8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06886D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CF888E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9768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心肌酶六项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68DED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6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987D41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0E61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29433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8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59711E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1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690603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心血管疾病筛查(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三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）</w:t>
            </w: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C1E13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血栓弹力图试验（TEG）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E6463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FE2168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了解</w:t>
            </w:r>
            <w:r>
              <w:rPr>
                <w:rFonts w:hint="eastAsia" w:asciiTheme="minorEastAsia" w:hAnsiTheme="minorEastAsia" w:cstheme="minorEastAsia"/>
                <w:color w:val="000000" w:themeColor="text1"/>
                <w:kern w:val="0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人体凝血过程全貌，评估和筛选人体心脑血管等血栓和出血性疾病形成风险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6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2FCA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6ABF95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8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49492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FEA0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5975D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眼压+眼科OCT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97EF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704188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了解眼底血管疾病变化。</w:t>
            </w:r>
          </w:p>
        </w:tc>
        <w:tc>
          <w:tcPr>
            <w:tcW w:w="6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F788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7EC54F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8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1401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1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B81E7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胃癌风险筛查</w:t>
            </w: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3080E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胃泌素-17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0F25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40A91D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  <w:t>胃分泌功能的评估及胃溃疡、萎缩性胃炎的风险评估。</w:t>
            </w:r>
          </w:p>
        </w:tc>
        <w:tc>
          <w:tcPr>
            <w:tcW w:w="6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B19E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6C17F8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8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4DFE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C1B7D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83AE93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胃蛋白酶原Ⅰ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2E4C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C4AE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9FAD7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highlight w:val="yellow"/>
              </w:rPr>
            </w:pPr>
          </w:p>
        </w:tc>
      </w:tr>
      <w:tr w14:paraId="2BE4D5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8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8C21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5D1BB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D412C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胃蛋白酶原Ⅱ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F2E3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3AD3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679D9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highlight w:val="yellow"/>
              </w:rPr>
            </w:pPr>
          </w:p>
        </w:tc>
      </w:tr>
      <w:tr w14:paraId="545E53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8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A1F4D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7CC0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F6C784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C13检查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D53E1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3EB7E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检验是否感染幽门螺旋杆菌的金标准。</w:t>
            </w:r>
          </w:p>
        </w:tc>
        <w:tc>
          <w:tcPr>
            <w:tcW w:w="6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5E98F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highlight w:val="yellow"/>
              </w:rPr>
            </w:pPr>
          </w:p>
        </w:tc>
      </w:tr>
      <w:tr w14:paraId="7591B8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3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2F1C7E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62B7B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肺癌风险筛查</w:t>
            </w: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EAB16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低剂量薄层CT</w:t>
            </w:r>
          </w:p>
        </w:tc>
        <w:tc>
          <w:tcPr>
            <w:tcW w:w="8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4D8BB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9BB254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显示肺部有无炎症、占位、结核，是目前公认的用于早期筛查肺癌的最佳方法。</w:t>
            </w:r>
          </w:p>
        </w:tc>
        <w:tc>
          <w:tcPr>
            <w:tcW w:w="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FFF53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5116CE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87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6162F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13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A02D7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乳癌风险筛查</w:t>
            </w: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A21B9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乳腺钼靶</w:t>
            </w:r>
          </w:p>
        </w:tc>
        <w:tc>
          <w:tcPr>
            <w:tcW w:w="8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BBED2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D5879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对乳腺增生、乳腺肿瘤、纤维瘤、乳腺癌等疾病有很好的诊断作用。</w:t>
            </w:r>
          </w:p>
        </w:tc>
        <w:tc>
          <w:tcPr>
            <w:tcW w:w="6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A3A95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285B04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7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E9EE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07318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68162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CA153</w:t>
            </w:r>
          </w:p>
        </w:tc>
        <w:tc>
          <w:tcPr>
            <w:tcW w:w="8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177B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C7D59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乳腺的良恶性肿瘤的筛查，同时也是疗效考核、判断有无复发的良好指标。</w:t>
            </w:r>
          </w:p>
        </w:tc>
        <w:tc>
          <w:tcPr>
            <w:tcW w:w="6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EAD0E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450F96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8FD6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B7907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宫颈癌筛查</w:t>
            </w: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6228F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HPV基因分型</w:t>
            </w:r>
          </w:p>
        </w:tc>
        <w:tc>
          <w:tcPr>
            <w:tcW w:w="8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3DFB3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E43A07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明确HPV感染的型别，可指导更早评估宫颈病变风险。</w:t>
            </w:r>
          </w:p>
        </w:tc>
        <w:tc>
          <w:tcPr>
            <w:tcW w:w="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984511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40C797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</w:trPr>
        <w:tc>
          <w:tcPr>
            <w:tcW w:w="87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0181B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13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25C0E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风湿疾病筛查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7BC5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血沉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991A8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E4C22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了解痛风，骨膜炎，风湿等疾病的具体程度，有利于对疾病的判断、治疗措施等。</w:t>
            </w:r>
          </w:p>
        </w:tc>
        <w:tc>
          <w:tcPr>
            <w:tcW w:w="62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17C5D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260706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87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E550D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4532D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5D05E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抗“Ｏ”、类风湿因子、C反应蛋白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27968D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96D73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62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0DDA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4E26BE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87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023B6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CE5CC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DEE53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C0000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全套抗核抗体（ANA）</w:t>
            </w:r>
          </w:p>
        </w:tc>
        <w:tc>
          <w:tcPr>
            <w:tcW w:w="8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EF3C6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color w:val="C00000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A74FE5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62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08C55B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34AC97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87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4EA3FD4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1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48E07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II型糖尿病筛查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D8D9D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餐后2h葡萄糖</w:t>
            </w: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AB5B7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7D4A12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用于糖尿病高危人群的筛检，糖尿病早期诊断及药物治疗控制情况检测，糖尿病治疗及血糖控制情况健康评估检查。</w:t>
            </w:r>
          </w:p>
        </w:tc>
        <w:tc>
          <w:tcPr>
            <w:tcW w:w="62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84423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515AC8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4" w:hRule="atLeast"/>
        </w:trPr>
        <w:tc>
          <w:tcPr>
            <w:tcW w:w="8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4E37B2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1F335E4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36BCF5">
            <w:pPr>
              <w:pStyle w:val="2"/>
              <w:widowControl/>
              <w:shd w:val="clear" w:color="auto" w:fill="FFFFFF"/>
              <w:spacing w:beforeAutospacing="0" w:afterAutospacing="0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18"/>
                <w:szCs w:val="18"/>
              </w:rPr>
              <w:t>尿微量白蛋白、肌酐、尿N-酰-β-D-氨基葡萄糖苷酶</w:t>
            </w:r>
          </w:p>
        </w:tc>
        <w:tc>
          <w:tcPr>
            <w:tcW w:w="8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06258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F612B2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6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20CF63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1BE95C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8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A46AC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BC0E05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D2FAF6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空腹+餐后C-肽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5316FC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EE3C1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6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B8A39E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20E840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87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E55EE0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FE4F0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AE4A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空腹+餐后胰岛素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83FB1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63A9DF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62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BC9956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535EA2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9" w:hRule="atLeast"/>
        </w:trPr>
        <w:tc>
          <w:tcPr>
            <w:tcW w:w="87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515AD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213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5EE85A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61030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电解质七项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DE86CF7"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A7540">
            <w:pPr>
              <w:widowControl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检测血液中钾离子、钠离子、氯离子、钙离子、镁离子、磷离子和碳酸氢根离子的含量，判断有无电解质紊乱。</w:t>
            </w:r>
          </w:p>
        </w:tc>
        <w:tc>
          <w:tcPr>
            <w:tcW w:w="62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37218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  <w:tr w14:paraId="4738BE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</w:trPr>
        <w:tc>
          <w:tcPr>
            <w:tcW w:w="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5FCB7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1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990A91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18"/>
                <w:szCs w:val="18"/>
              </w:rPr>
              <w:t>磁共振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val="en-US" w:eastAsia="zh-CN"/>
              </w:rPr>
              <w:t>单部位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2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9A08C0">
            <w:pPr>
              <w:pStyle w:val="3"/>
              <w:keepNext w:val="0"/>
              <w:keepLines w:val="0"/>
              <w:widowControl/>
              <w:suppressLineNumbers w:val="0"/>
              <w:shd w:val="clear" w:fill="FFFFFF"/>
              <w:spacing w:line="15" w:lineRule="atLeast"/>
              <w:ind w:left="0" w:firstLine="0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</w:pPr>
          </w:p>
          <w:p w14:paraId="65B295BE">
            <w:pPr>
              <w:pStyle w:val="3"/>
              <w:keepNext w:val="0"/>
              <w:keepLines w:val="0"/>
              <w:widowControl/>
              <w:suppressLineNumbers w:val="0"/>
              <w:shd w:val="clear" w:fill="FFFFFF"/>
              <w:spacing w:line="15" w:lineRule="atLeast"/>
              <w:ind w:left="0" w:firstLine="0"/>
              <w:rPr>
                <w:rFonts w:hint="default" w:asciiTheme="minorEastAsia" w:hAnsiTheme="minorEastAsia" w:eastAsiaTheme="minorEastAsia" w:cstheme="minorEastAsia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18"/>
                <w:szCs w:val="18"/>
                <w:lang w:val="en-US" w:eastAsia="zh-CN" w:bidi="ar-SA"/>
              </w:rPr>
              <w:t>中枢神经系统、骨关节等单部位磁共振检查</w:t>
            </w:r>
          </w:p>
          <w:p w14:paraId="399502FE">
            <w:pPr>
              <w:widowControl/>
              <w:jc w:val="center"/>
              <w:rPr>
                <w:rFonts w:hint="default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</w:pPr>
          </w:p>
        </w:tc>
        <w:tc>
          <w:tcPr>
            <w:tcW w:w="8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53629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  <w:tc>
          <w:tcPr>
            <w:tcW w:w="3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C4D0A">
            <w:pPr>
              <w:widowControl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  <w:t>筛查脑部疾病</w:t>
            </w:r>
            <w:r>
              <w:rPr>
                <w:rFonts w:hint="eastAsia" w:asciiTheme="minorEastAsia" w:hAnsiTheme="minorEastAsia" w:cstheme="minorEastAsia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kern w:val="0"/>
                <w:sz w:val="18"/>
                <w:szCs w:val="18"/>
                <w:lang w:val="en-US" w:eastAsia="zh-CN"/>
              </w:rPr>
              <w:t>关节损伤</w:t>
            </w:r>
          </w:p>
        </w:tc>
        <w:tc>
          <w:tcPr>
            <w:tcW w:w="6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A9A1F"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18"/>
                <w:szCs w:val="18"/>
              </w:rPr>
            </w:pPr>
          </w:p>
        </w:tc>
      </w:tr>
    </w:tbl>
    <w:p w14:paraId="1CD47A87">
      <w:pPr>
        <w:spacing w:before="72" w:beforeLines="0" w:afterLines="0" w:line="219" w:lineRule="auto"/>
        <w:rPr>
          <w:rFonts w:hint="eastAsia" w:ascii="宋体" w:hAnsi="宋体" w:eastAsia="宋体" w:cs="宋体"/>
          <w:spacing w:val="16"/>
          <w:sz w:val="22"/>
          <w:szCs w:val="22"/>
        </w:rPr>
      </w:pPr>
    </w:p>
    <w:p w14:paraId="767CC152">
      <w:pPr>
        <w:spacing w:beforeLines="0" w:afterLines="0" w:line="76" w:lineRule="exact"/>
        <w:rPr>
          <w:rFonts w:hint="default"/>
          <w:sz w:val="21"/>
          <w:szCs w:val="21"/>
        </w:rPr>
      </w:pPr>
    </w:p>
    <w:p w14:paraId="7E306898">
      <w:pPr>
        <w:spacing w:before="152" w:beforeLines="0" w:afterLines="0" w:line="219" w:lineRule="auto"/>
        <w:ind w:left="565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6"/>
          <w:sz w:val="22"/>
          <w:szCs w:val="22"/>
        </w:rPr>
        <w:t>供应商公章：</w:t>
      </w:r>
    </w:p>
    <w:p w14:paraId="122BA9C1">
      <w:pPr>
        <w:spacing w:before="191" w:beforeLines="0" w:afterLines="0" w:line="220" w:lineRule="auto"/>
        <w:ind w:left="5689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-26"/>
          <w:sz w:val="22"/>
          <w:szCs w:val="22"/>
        </w:rPr>
        <w:t>日</w:t>
      </w:r>
      <w:r>
        <w:rPr>
          <w:rFonts w:hint="eastAsia" w:ascii="宋体" w:hAnsi="宋体" w:eastAsia="宋体" w:cs="宋体"/>
          <w:spacing w:val="12"/>
          <w:sz w:val="22"/>
          <w:szCs w:val="22"/>
        </w:rPr>
        <w:t xml:space="preserve">      </w:t>
      </w:r>
      <w:r>
        <w:rPr>
          <w:rFonts w:hint="eastAsia" w:ascii="宋体" w:hAnsi="宋体" w:eastAsia="宋体" w:cs="宋体"/>
          <w:spacing w:val="-26"/>
          <w:sz w:val="22"/>
          <w:szCs w:val="22"/>
        </w:rPr>
        <w:t>期：</w:t>
      </w:r>
    </w:p>
    <w:p w14:paraId="352513F2">
      <w:pPr>
        <w:spacing w:beforeLines="0" w:afterLines="0" w:line="247" w:lineRule="auto"/>
        <w:rPr>
          <w:rFonts w:hint="default"/>
          <w:sz w:val="21"/>
          <w:szCs w:val="21"/>
        </w:rPr>
      </w:pPr>
    </w:p>
    <w:p w14:paraId="16EC15DA">
      <w:pPr>
        <w:spacing w:beforeLines="0" w:afterLines="0" w:line="247" w:lineRule="auto"/>
        <w:rPr>
          <w:rFonts w:hint="default"/>
          <w:sz w:val="21"/>
          <w:szCs w:val="21"/>
        </w:rPr>
      </w:pPr>
    </w:p>
    <w:p w14:paraId="27A53A08">
      <w:pPr>
        <w:spacing w:beforeLines="0" w:afterLines="0" w:line="247" w:lineRule="auto"/>
        <w:rPr>
          <w:rFonts w:hint="default"/>
          <w:sz w:val="21"/>
          <w:szCs w:val="21"/>
        </w:rPr>
      </w:pPr>
    </w:p>
    <w:p w14:paraId="2EB1E9AD">
      <w:pPr>
        <w:spacing w:beforeLines="0" w:afterLines="0" w:line="247" w:lineRule="auto"/>
        <w:rPr>
          <w:rFonts w:hint="default"/>
          <w:sz w:val="21"/>
          <w:szCs w:val="21"/>
        </w:rPr>
      </w:pPr>
    </w:p>
    <w:p w14:paraId="415087B8">
      <w:pPr>
        <w:spacing w:before="71" w:beforeLines="0" w:afterLines="0" w:line="238" w:lineRule="auto"/>
        <w:ind w:right="7" w:firstLine="463"/>
        <w:rPr>
          <w:rFonts w:hint="eastAsia" w:ascii="宋体" w:hAnsi="宋体" w:eastAsia="宋体" w:cs="宋体"/>
          <w:sz w:val="22"/>
          <w:szCs w:val="22"/>
        </w:rPr>
        <w:sectPr>
          <w:footerReference r:id="rId4" w:type="default"/>
          <w:pgSz w:w="11900" w:h="16820"/>
          <w:pgMar w:top="1429" w:right="1755" w:bottom="1009" w:left="1650" w:header="0" w:footer="891" w:gutter="0"/>
          <w:lnNumType w:countBy="0" w:distance="360"/>
          <w:cols w:space="720" w:num="1"/>
          <w:docGrid w:type="lines" w:linePitch="312" w:charSpace="0"/>
        </w:sectPr>
      </w:pPr>
      <w:r>
        <w:rPr>
          <w:rFonts w:hint="eastAsia" w:ascii="宋体" w:hAnsi="宋体" w:eastAsia="宋体" w:cs="宋体"/>
          <w:b/>
          <w:spacing w:val="16"/>
          <w:sz w:val="22"/>
          <w:szCs w:val="22"/>
        </w:rPr>
        <w:t>备注：</w:t>
      </w:r>
      <w:r>
        <w:rPr>
          <w:rFonts w:hint="eastAsia" w:ascii="宋体" w:hAnsi="宋体" w:eastAsia="宋体" w:cs="宋体"/>
          <w:spacing w:val="16"/>
          <w:sz w:val="22"/>
          <w:szCs w:val="22"/>
        </w:rPr>
        <w:t>表中所列服务为对应本项目需求的全部服务内容。如</w:t>
      </w:r>
      <w:r>
        <w:rPr>
          <w:rFonts w:hint="eastAsia" w:ascii="宋体" w:hAnsi="宋体" w:eastAsia="宋体" w:cs="宋体"/>
          <w:spacing w:val="15"/>
          <w:sz w:val="22"/>
          <w:szCs w:val="22"/>
        </w:rPr>
        <w:t>有</w:t>
      </w:r>
      <w:r>
        <w:rPr>
          <w:rFonts w:hint="eastAsia" w:ascii="宋体" w:hAnsi="宋体" w:eastAsia="宋体" w:cs="宋体"/>
          <w:spacing w:val="15"/>
          <w:sz w:val="22"/>
          <w:szCs w:val="22"/>
          <w:lang w:val="en-US" w:eastAsia="zh-CN"/>
        </w:rPr>
        <w:t>无法满足或有其他同类检查项目</w:t>
      </w:r>
      <w:r>
        <w:rPr>
          <w:rFonts w:hint="eastAsia" w:ascii="宋体" w:hAnsi="宋体" w:eastAsia="宋体" w:cs="宋体"/>
          <w:spacing w:val="15"/>
          <w:sz w:val="22"/>
          <w:szCs w:val="22"/>
        </w:rPr>
        <w:t>，</w:t>
      </w:r>
      <w:r>
        <w:rPr>
          <w:rFonts w:hint="eastAsia" w:ascii="宋体" w:hAnsi="宋体" w:eastAsia="宋体" w:cs="宋体"/>
          <w:spacing w:val="15"/>
          <w:sz w:val="22"/>
          <w:szCs w:val="22"/>
          <w:lang w:val="en-US" w:eastAsia="zh-CN"/>
        </w:rPr>
        <w:t>请在本页说明情况</w:t>
      </w:r>
      <w:r>
        <w:rPr>
          <w:rFonts w:hint="eastAsia" w:ascii="宋体" w:hAnsi="宋体" w:eastAsia="宋体" w:cs="宋体"/>
          <w:spacing w:val="13"/>
          <w:sz w:val="22"/>
          <w:szCs w:val="22"/>
        </w:rPr>
        <w:t>。</w:t>
      </w:r>
    </w:p>
    <w:p w14:paraId="1A608B73">
      <w:pPr>
        <w:spacing w:before="156" w:beforeLines="0" w:afterLines="0" w:line="219" w:lineRule="auto"/>
        <w:jc w:val="center"/>
        <w:outlineLvl w:val="4"/>
        <w:rPr>
          <w:rFonts w:hint="eastAsia" w:ascii="宋体" w:hAnsi="宋体" w:eastAsia="宋体" w:cs="宋体"/>
          <w:b/>
          <w:spacing w:val="9"/>
          <w:sz w:val="24"/>
          <w:szCs w:val="24"/>
        </w:rPr>
      </w:pPr>
      <w:r>
        <w:rPr>
          <w:rFonts w:hint="eastAsia" w:ascii="宋体" w:hAnsi="宋体" w:eastAsia="宋体" w:cs="宋体"/>
          <w:b/>
          <w:spacing w:val="9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b/>
          <w:spacing w:val="9"/>
          <w:sz w:val="24"/>
          <w:szCs w:val="24"/>
        </w:rPr>
        <w:t>、业绩承诺函</w:t>
      </w:r>
    </w:p>
    <w:p w14:paraId="2981081B">
      <w:pPr>
        <w:spacing w:beforeLines="0" w:afterLines="0" w:line="293" w:lineRule="auto"/>
        <w:rPr>
          <w:rFonts w:hint="default"/>
          <w:sz w:val="22"/>
          <w:szCs w:val="22"/>
        </w:rPr>
      </w:pPr>
    </w:p>
    <w:p w14:paraId="3AC4D0F5">
      <w:pPr>
        <w:spacing w:beforeLines="0" w:afterLines="0" w:line="293" w:lineRule="auto"/>
        <w:rPr>
          <w:rFonts w:hint="default"/>
          <w:sz w:val="22"/>
          <w:szCs w:val="22"/>
        </w:rPr>
      </w:pPr>
    </w:p>
    <w:p w14:paraId="5A5B4BB8">
      <w:pPr>
        <w:spacing w:beforeLines="0" w:afterLines="0" w:line="294" w:lineRule="auto"/>
        <w:rPr>
          <w:rFonts w:hint="default"/>
          <w:sz w:val="22"/>
          <w:szCs w:val="22"/>
        </w:rPr>
      </w:pPr>
    </w:p>
    <w:p w14:paraId="3398F6C4">
      <w:pPr>
        <w:spacing w:before="69" w:beforeLines="0" w:afterLines="0" w:line="416" w:lineRule="auto"/>
        <w:ind w:left="185" w:right="279" w:firstLine="469"/>
        <w:jc w:val="both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spacing w:val="24"/>
          <w:sz w:val="23"/>
          <w:szCs w:val="23"/>
        </w:rPr>
        <w:t>我单位同意成交结果公告中公示以下业绩并承诺：响应文件中所提供的</w:t>
      </w:r>
      <w:r>
        <w:rPr>
          <w:rFonts w:hint="eastAsia" w:ascii="宋体" w:hAnsi="宋体" w:eastAsia="宋体" w:cs="宋体"/>
          <w:spacing w:val="24"/>
          <w:sz w:val="23"/>
          <w:szCs w:val="23"/>
          <w:lang w:val="en-US" w:eastAsia="zh-CN"/>
        </w:rPr>
        <w:t>业</w:t>
      </w:r>
      <w:r>
        <w:rPr>
          <w:rFonts w:hint="eastAsia" w:ascii="宋体" w:hAnsi="宋体" w:eastAsia="宋体" w:cs="宋体"/>
          <w:spacing w:val="20"/>
          <w:sz w:val="23"/>
          <w:szCs w:val="23"/>
        </w:rPr>
        <w:t>绩均真实有效，若被发现存在任何虚假、隐瞒情况，我单位承担由此产生的一切</w:t>
      </w:r>
      <w:r>
        <w:rPr>
          <w:rFonts w:hint="eastAsia" w:ascii="宋体" w:hAnsi="宋体" w:eastAsia="宋体" w:cs="宋体"/>
          <w:spacing w:val="11"/>
          <w:sz w:val="23"/>
          <w:szCs w:val="23"/>
        </w:rPr>
        <w:t>后果。</w:t>
      </w:r>
    </w:p>
    <w:p w14:paraId="036F4DEF">
      <w:pPr>
        <w:spacing w:beforeLines="0" w:afterLines="0" w:line="400" w:lineRule="auto"/>
        <w:rPr>
          <w:rFonts w:hint="default"/>
          <w:sz w:val="21"/>
          <w:szCs w:val="21"/>
        </w:rPr>
      </w:pPr>
    </w:p>
    <w:p w14:paraId="21D15AA1">
      <w:pPr>
        <w:spacing w:before="68" w:beforeLines="0" w:afterLines="0" w:line="219" w:lineRule="auto"/>
        <w:ind w:firstLine="4400" w:firstLineChars="2000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spacing w:val="-5"/>
          <w:sz w:val="23"/>
          <w:szCs w:val="23"/>
        </w:rPr>
        <w:t>供应商公章：</w:t>
      </w:r>
      <w:r>
        <w:rPr>
          <w:rFonts w:hint="eastAsia" w:ascii="宋体" w:hAnsi="宋体" w:eastAsia="宋体" w:cs="宋体"/>
          <w:spacing w:val="24"/>
          <w:sz w:val="23"/>
          <w:szCs w:val="23"/>
        </w:rPr>
        <w:t xml:space="preserve"> </w:t>
      </w:r>
      <w:r>
        <w:rPr>
          <w:rFonts w:hint="eastAsia" w:ascii="宋体" w:hAnsi="宋体" w:eastAsia="宋体" w:cs="宋体"/>
          <w:sz w:val="23"/>
          <w:szCs w:val="23"/>
          <w:u w:val="single" w:color="auto"/>
        </w:rPr>
        <w:t xml:space="preserve">                 </w:t>
      </w:r>
    </w:p>
    <w:p w14:paraId="6027665C">
      <w:pPr>
        <w:spacing w:before="262" w:beforeLines="0" w:afterLines="0" w:line="220" w:lineRule="auto"/>
        <w:ind w:firstLine="4320" w:firstLineChars="2400"/>
        <w:rPr>
          <w:rFonts w:hint="eastAsia" w:ascii="宋体" w:hAnsi="宋体" w:eastAsia="宋体" w:cs="宋体"/>
          <w:sz w:val="23"/>
          <w:szCs w:val="23"/>
        </w:rPr>
      </w:pPr>
      <w:r>
        <w:rPr>
          <w:rFonts w:hint="eastAsia" w:ascii="宋体" w:hAnsi="宋体" w:eastAsia="宋体" w:cs="宋体"/>
          <w:spacing w:val="-25"/>
          <w:sz w:val="23"/>
          <w:szCs w:val="23"/>
        </w:rPr>
        <w:t>日</w:t>
      </w:r>
      <w:r>
        <w:rPr>
          <w:rFonts w:hint="eastAsia" w:ascii="宋体" w:hAnsi="宋体" w:eastAsia="宋体" w:cs="宋体"/>
          <w:spacing w:val="15"/>
          <w:sz w:val="23"/>
          <w:szCs w:val="23"/>
        </w:rPr>
        <w:t xml:space="preserve">      </w:t>
      </w:r>
      <w:r>
        <w:rPr>
          <w:rFonts w:hint="eastAsia" w:ascii="宋体" w:hAnsi="宋体" w:eastAsia="宋体" w:cs="宋体"/>
          <w:spacing w:val="-25"/>
          <w:sz w:val="23"/>
          <w:szCs w:val="23"/>
        </w:rPr>
        <w:t>期</w:t>
      </w:r>
      <w:r>
        <w:rPr>
          <w:rFonts w:hint="eastAsia" w:ascii="宋体" w:hAnsi="宋体" w:eastAsia="宋体" w:cs="宋体"/>
          <w:spacing w:val="-25"/>
          <w:sz w:val="23"/>
          <w:szCs w:val="23"/>
          <w:lang w:eastAsia="zh-CN"/>
        </w:rPr>
        <w:t>：</w:t>
      </w:r>
      <w:r>
        <w:rPr>
          <w:rFonts w:hint="eastAsia" w:ascii="宋体" w:hAnsi="宋体" w:eastAsia="宋体" w:cs="宋体"/>
          <w:sz w:val="23"/>
          <w:szCs w:val="23"/>
          <w:u w:val="single" w:color="auto"/>
        </w:rPr>
        <w:t xml:space="preserve">                 </w:t>
      </w:r>
    </w:p>
    <w:p w14:paraId="3603FB28">
      <w:pPr>
        <w:spacing w:beforeLines="0" w:afterLines="0"/>
        <w:rPr>
          <w:rFonts w:hint="default"/>
          <w:sz w:val="23"/>
          <w:szCs w:val="23"/>
        </w:rPr>
      </w:pPr>
    </w:p>
    <w:p w14:paraId="4AE40301">
      <w:pPr>
        <w:spacing w:beforeLines="0" w:afterLines="0"/>
        <w:rPr>
          <w:rFonts w:hint="default"/>
          <w:sz w:val="21"/>
          <w:szCs w:val="21"/>
        </w:rPr>
      </w:pPr>
    </w:p>
    <w:p w14:paraId="61D96F87">
      <w:pPr>
        <w:spacing w:beforeLines="0" w:afterLines="0"/>
        <w:rPr>
          <w:rFonts w:hint="default"/>
          <w:sz w:val="21"/>
          <w:szCs w:val="21"/>
        </w:rPr>
      </w:pPr>
    </w:p>
    <w:tbl>
      <w:tblPr>
        <w:tblStyle w:val="5"/>
        <w:tblW w:w="8490" w:type="dxa"/>
        <w:tblInd w:w="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24"/>
        <w:gridCol w:w="4105"/>
        <w:gridCol w:w="2068"/>
        <w:gridCol w:w="1393"/>
      </w:tblGrid>
      <w:tr w14:paraId="2A10CE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3" w:hRule="atLeast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44EA2E0B">
            <w:pPr>
              <w:pStyle w:val="7"/>
              <w:spacing w:before="155" w:beforeLines="0" w:afterLines="0" w:line="221" w:lineRule="auto"/>
              <w:ind w:left="225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pacing w:val="7"/>
                <w:sz w:val="23"/>
                <w:szCs w:val="23"/>
              </w:rPr>
              <w:t>序号</w:t>
            </w:r>
          </w:p>
        </w:tc>
        <w:tc>
          <w:tcPr>
            <w:tcW w:w="4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40835F28">
            <w:pPr>
              <w:pStyle w:val="7"/>
              <w:spacing w:before="155" w:beforeLines="0" w:afterLines="0" w:line="220" w:lineRule="auto"/>
              <w:ind w:left="1611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pacing w:val="2"/>
                <w:sz w:val="23"/>
                <w:szCs w:val="23"/>
              </w:rPr>
              <w:t>项目名称</w:t>
            </w: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06B64073">
            <w:pPr>
              <w:pStyle w:val="7"/>
              <w:spacing w:before="154" w:beforeLines="0" w:afterLines="0" w:line="219" w:lineRule="auto"/>
              <w:ind w:left="586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pacing w:val="5"/>
                <w:sz w:val="23"/>
                <w:szCs w:val="23"/>
              </w:rPr>
              <w:t>服务范围</w:t>
            </w: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7F87D2E4">
            <w:pPr>
              <w:pStyle w:val="7"/>
              <w:spacing w:before="155" w:beforeLines="0" w:afterLines="0" w:line="221" w:lineRule="auto"/>
              <w:ind w:left="488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pacing w:val="5"/>
                <w:sz w:val="23"/>
                <w:szCs w:val="23"/>
              </w:rPr>
              <w:t>备注</w:t>
            </w:r>
          </w:p>
        </w:tc>
      </w:tr>
      <w:tr w14:paraId="72F88E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5A10F79F">
            <w:pPr>
              <w:pStyle w:val="7"/>
              <w:spacing w:before="214" w:beforeLines="0" w:afterLines="0" w:line="188" w:lineRule="auto"/>
              <w:ind w:left="394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</w:t>
            </w:r>
          </w:p>
        </w:tc>
        <w:tc>
          <w:tcPr>
            <w:tcW w:w="4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4ED4B6B0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70A22A98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1A96FE34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</w:tr>
      <w:tr w14:paraId="4D22E0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5B666D3F">
            <w:pPr>
              <w:pStyle w:val="7"/>
              <w:spacing w:before="224" w:beforeLines="0" w:afterLines="0" w:line="188" w:lineRule="auto"/>
              <w:ind w:left="394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</w:p>
        </w:tc>
        <w:tc>
          <w:tcPr>
            <w:tcW w:w="4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57E26B1C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3108FF42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6F1471D1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</w:tr>
      <w:tr w14:paraId="7936C8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0CF7DAE9">
            <w:pPr>
              <w:pStyle w:val="7"/>
              <w:spacing w:before="226" w:beforeLines="0" w:afterLines="0" w:line="186" w:lineRule="auto"/>
              <w:ind w:left="394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3</w:t>
            </w:r>
          </w:p>
        </w:tc>
        <w:tc>
          <w:tcPr>
            <w:tcW w:w="4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677B4D6A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7636788F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5390CC6A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</w:tr>
      <w:tr w14:paraId="53F882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8" w:hRule="atLeast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4D196B54">
            <w:pPr>
              <w:pStyle w:val="7"/>
              <w:spacing w:before="248" w:beforeLines="0" w:afterLines="0" w:line="176" w:lineRule="auto"/>
              <w:ind w:left="394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4</w:t>
            </w:r>
          </w:p>
        </w:tc>
        <w:tc>
          <w:tcPr>
            <w:tcW w:w="4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788DFC12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66CDD03C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689A7393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</w:tr>
      <w:tr w14:paraId="3F27B3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8" w:hRule="atLeast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08439ACC">
            <w:pPr>
              <w:pStyle w:val="7"/>
              <w:spacing w:before="230" w:beforeLines="0" w:afterLines="0" w:line="183" w:lineRule="auto"/>
              <w:ind w:left="394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5</w:t>
            </w:r>
          </w:p>
        </w:tc>
        <w:tc>
          <w:tcPr>
            <w:tcW w:w="4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10CF83BF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5C95153E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73DB574A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</w:tr>
      <w:tr w14:paraId="205CAF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</w:trPr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4AE02A42">
            <w:pPr>
              <w:pStyle w:val="7"/>
              <w:spacing w:before="202" w:beforeLines="0" w:afterLines="0" w:line="194" w:lineRule="auto"/>
              <w:ind w:left="225"/>
              <w:rPr>
                <w:rFonts w:hint="eastAsia"/>
                <w:sz w:val="23"/>
                <w:szCs w:val="23"/>
              </w:rPr>
            </w:pPr>
            <w:r>
              <w:rPr>
                <w:rFonts w:hint="eastAsia"/>
                <w:spacing w:val="-6"/>
                <w:sz w:val="23"/>
                <w:szCs w:val="23"/>
              </w:rPr>
              <w:t>……</w:t>
            </w:r>
          </w:p>
        </w:tc>
        <w:tc>
          <w:tcPr>
            <w:tcW w:w="4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2B727AD4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20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2002AFEF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  <w:tc>
          <w:tcPr>
            <w:tcW w:w="13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il"/>
              <w:tr2bl w:val="nil"/>
            </w:tcBorders>
            <w:noWrap w:val="0"/>
            <w:vAlign w:val="top"/>
          </w:tcPr>
          <w:p w14:paraId="43650072">
            <w:pPr>
              <w:spacing w:beforeLines="0" w:afterLines="0"/>
              <w:rPr>
                <w:rFonts w:hint="default"/>
                <w:sz w:val="21"/>
                <w:szCs w:val="21"/>
              </w:rPr>
            </w:pPr>
          </w:p>
        </w:tc>
      </w:tr>
    </w:tbl>
    <w:p w14:paraId="409BC7FC">
      <w:pPr>
        <w:spacing w:beforeLines="0" w:afterLines="0" w:line="289" w:lineRule="auto"/>
        <w:rPr>
          <w:rFonts w:hint="default"/>
          <w:sz w:val="21"/>
          <w:szCs w:val="21"/>
        </w:rPr>
      </w:pPr>
    </w:p>
    <w:p w14:paraId="4F50C190">
      <w:pPr>
        <w:spacing w:beforeLines="0" w:afterLines="0" w:line="290" w:lineRule="auto"/>
        <w:rPr>
          <w:rFonts w:hint="default"/>
          <w:sz w:val="21"/>
          <w:szCs w:val="21"/>
        </w:rPr>
      </w:pPr>
    </w:p>
    <w:p w14:paraId="4A001A3D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  <w:r>
        <w:rPr>
          <w:rFonts w:hint="eastAsia" w:ascii="宋体" w:hAnsi="宋体" w:eastAsia="宋体" w:cs="宋体"/>
          <w:b/>
          <w:spacing w:val="23"/>
          <w:sz w:val="23"/>
          <w:szCs w:val="23"/>
        </w:rPr>
        <w:t>备注：</w:t>
      </w:r>
      <w:r>
        <w:rPr>
          <w:rFonts w:hint="eastAsia" w:ascii="宋体" w:hAnsi="宋体" w:eastAsia="宋体" w:cs="宋体"/>
          <w:spacing w:val="23"/>
          <w:sz w:val="23"/>
          <w:szCs w:val="23"/>
        </w:rPr>
        <w:t>表中所列业绩应为供应商满足询价文件要求的</w:t>
      </w:r>
      <w:r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  <w:t>业绩。</w:t>
      </w:r>
    </w:p>
    <w:p w14:paraId="50BBC4EA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</w:p>
    <w:p w14:paraId="51AF9EFC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</w:p>
    <w:p w14:paraId="426E9D3D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</w:p>
    <w:p w14:paraId="116DE389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</w:p>
    <w:p w14:paraId="70DDC4A5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</w:p>
    <w:p w14:paraId="116D6924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</w:p>
    <w:p w14:paraId="352BDE17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</w:p>
    <w:p w14:paraId="21E5BC59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</w:p>
    <w:p w14:paraId="491E4B38">
      <w:pPr>
        <w:spacing w:before="70" w:beforeLines="0" w:afterLines="0" w:line="218" w:lineRule="auto"/>
        <w:ind w:left="588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</w:pPr>
    </w:p>
    <w:p w14:paraId="6F2768C8">
      <w:pPr>
        <w:spacing w:before="70" w:beforeLines="0" w:afterLines="0" w:line="218" w:lineRule="auto"/>
        <w:rPr>
          <w:rFonts w:hint="eastAsia" w:ascii="宋体" w:hAnsi="宋体" w:eastAsia="宋体" w:cs="宋体"/>
          <w:spacing w:val="23"/>
          <w:sz w:val="23"/>
          <w:szCs w:val="23"/>
          <w:lang w:val="en-US" w:eastAsia="zh-CN"/>
        </w:rPr>
        <w:sectPr>
          <w:footerReference r:id="rId5" w:type="default"/>
          <w:pgSz w:w="11900" w:h="16820"/>
          <w:pgMar w:top="1429" w:right="1594" w:bottom="1010" w:left="1785" w:header="0" w:footer="893" w:gutter="0"/>
          <w:lnNumType w:countBy="0" w:distance="360"/>
          <w:cols w:space="720" w:num="1"/>
          <w:docGrid w:type="lines" w:linePitch="312" w:charSpace="0"/>
        </w:sectPr>
      </w:pPr>
    </w:p>
    <w:p w14:paraId="46769E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Times New Roman" w:eastAsia="仿宋_GB2312" w:cs="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3D0434">
    <w:pPr>
      <w:spacing w:beforeLines="0" w:afterLines="0" w:line="172" w:lineRule="auto"/>
      <w:ind w:left="4025"/>
      <w:rPr>
        <w:rFonts w:hint="default" w:ascii="Times New Roman" w:hAnsi="Times New Roman" w:eastAsia="Times New Roman" w:cs="Times New Roman"/>
        <w:sz w:val="13"/>
        <w:szCs w:val="13"/>
      </w:rPr>
    </w:pPr>
    <w:r>
      <w:rPr>
        <w:rFonts w:hint="default" w:ascii="Times New Roman" w:hAnsi="Times New Roman" w:eastAsia="Times New Roman" w:cs="Times New Roman"/>
        <w:sz w:val="13"/>
        <w:szCs w:val="13"/>
      </w:rPr>
      <w:t>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8DFD4E">
    <w:pPr>
      <w:spacing w:beforeLines="0" w:afterLines="0" w:line="172" w:lineRule="auto"/>
      <w:ind w:left="4119"/>
      <w:rPr>
        <w:rFonts w:hint="default" w:ascii="Times New Roman" w:hAnsi="Times New Roman" w:eastAsia="Times New Roman" w:cs="Times New Roman"/>
        <w:sz w:val="13"/>
        <w:szCs w:val="13"/>
      </w:rPr>
    </w:pPr>
    <w:r>
      <w:rPr>
        <w:rFonts w:hint="default" w:ascii="Times New Roman" w:hAnsi="Times New Roman" w:eastAsia="Times New Roman" w:cs="Times New Roman"/>
        <w:spacing w:val="-4"/>
        <w:sz w:val="13"/>
        <w:szCs w:val="13"/>
      </w:rPr>
      <w:t>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806BD3">
    <w:pPr>
      <w:spacing w:beforeLines="0" w:afterLines="0" w:line="172" w:lineRule="auto"/>
      <w:ind w:left="4004"/>
      <w:rPr>
        <w:rFonts w:hint="default" w:ascii="Times New Roman" w:hAnsi="Times New Roman" w:eastAsia="Times New Roman" w:cs="Times New Roman"/>
        <w:sz w:val="13"/>
        <w:szCs w:val="13"/>
      </w:rPr>
    </w:pPr>
    <w:r>
      <w:rPr>
        <w:rFonts w:hint="default" w:ascii="Times New Roman" w:hAnsi="Times New Roman" w:eastAsia="Times New Roman" w:cs="Times New Roman"/>
        <w:spacing w:val="-4"/>
        <w:sz w:val="13"/>
        <w:szCs w:val="13"/>
      </w:rPr>
      <w:t>17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E721DB"/>
    <w:rsid w:val="12454D99"/>
    <w:rsid w:val="253C3A2C"/>
    <w:rsid w:val="380A285C"/>
    <w:rsid w:val="689C7999"/>
    <w:rsid w:val="7B7A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2298</Words>
  <Characters>2413</Characters>
  <Lines>0</Lines>
  <Paragraphs>0</Paragraphs>
  <TotalTime>13</TotalTime>
  <ScaleCrop>false</ScaleCrop>
  <LinksUpToDate>false</LinksUpToDate>
  <CharactersWithSpaces>2450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2025-07-15T02:22:00Z</dcterms:created>
  <dc:creator>Administrator</dc:creator>
  <cp:lastModifiedBy>thebs</cp:lastModifiedBy>
  <dcterms:modified xsi:type="dcterms:W3CDTF">2025-07-17T02:48:31Z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eyJoZGlkIjoiYjU4OTM0NjU5ZjRlYmYzZmQ1NTRkMDIwMWQ2ZWZhZTMiLCJ1c2VySWQiOiIzMjQ0MTk5MzMifQ==</vt:lpwstr>
  </property>
  <property fmtid="{D5CDD505-2E9C-101B-9397-08002B2CF9AE}" pid="4" name="ICV">
    <vt:lpwstr>92CAB89E1A2C409DBAD1134CEF385D2A_13</vt:lpwstr>
  </property>
</Properties>
</file>