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left"/>
        <w:textAlignment w:val="baseline"/>
        <w:rPr>
          <w:rFonts w:hint="eastAsia" w:ascii="黑体" w:hAnsi="宋体" w:eastAsia="黑体" w:cs="黑体"/>
          <w:i w:val="0"/>
          <w:caps w:val="0"/>
          <w:color w:val="333333"/>
          <w:spacing w:val="0"/>
          <w:sz w:val="28"/>
          <w:szCs w:val="28"/>
          <w:shd w:val="clear" w:fill="FFFFFF"/>
          <w:lang w:val="en-US" w:eastAsia="zh-CN"/>
        </w:rPr>
      </w:pPr>
      <w:r>
        <w:rPr>
          <w:rFonts w:hint="eastAsia" w:ascii="黑体" w:hAnsi="宋体" w:eastAsia="黑体" w:cs="黑体"/>
          <w:i w:val="0"/>
          <w:caps w:val="0"/>
          <w:color w:val="333333"/>
          <w:spacing w:val="0"/>
          <w:sz w:val="28"/>
          <w:szCs w:val="28"/>
          <w:shd w:val="clear" w:fill="FFFFFF"/>
          <w:lang w:val="en-US" w:eastAsia="zh-CN"/>
        </w:rPr>
        <w:t>附件：</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exact"/>
        <w:jc w:val="center"/>
        <w:textAlignment w:val="baseline"/>
        <w:rPr>
          <w:rFonts w:hint="eastAsia" w:asciiTheme="minorEastAsia" w:hAnsiTheme="minorEastAsia" w:eastAsiaTheme="minorEastAsia" w:cstheme="minorEastAsia"/>
          <w:b/>
          <w:bCs/>
          <w:i w:val="0"/>
          <w:caps w:val="0"/>
          <w:color w:val="333333"/>
          <w:spacing w:val="0"/>
          <w:sz w:val="36"/>
          <w:szCs w:val="36"/>
          <w:shd w:val="clear" w:fill="FFFFFF"/>
        </w:rPr>
      </w:pP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exact"/>
        <w:jc w:val="center"/>
        <w:textAlignment w:val="baseline"/>
        <w:rPr>
          <w:rFonts w:hint="eastAsia" w:ascii="黑体" w:hAnsi="宋体" w:eastAsia="黑体" w:cs="黑体"/>
          <w:i w:val="0"/>
          <w:caps w:val="0"/>
          <w:color w:val="333333"/>
          <w:spacing w:val="0"/>
          <w:sz w:val="36"/>
          <w:szCs w:val="36"/>
          <w:shd w:val="clear" w:fill="FFFFFF"/>
        </w:rPr>
      </w:pPr>
      <w:r>
        <w:rPr>
          <w:rFonts w:hint="eastAsia" w:asciiTheme="minorEastAsia" w:hAnsiTheme="minorEastAsia" w:eastAsiaTheme="minorEastAsia" w:cstheme="minorEastAsia"/>
          <w:b/>
          <w:bCs/>
          <w:i w:val="0"/>
          <w:caps w:val="0"/>
          <w:color w:val="333333"/>
          <w:spacing w:val="0"/>
          <w:sz w:val="36"/>
          <w:szCs w:val="36"/>
          <w:shd w:val="clear" w:fill="FFFFFF"/>
        </w:rPr>
        <w:t>评分标准</w:t>
      </w:r>
    </w:p>
    <w:tbl>
      <w:tblPr>
        <w:tblStyle w:val="5"/>
        <w:tblpPr w:leftFromText="180" w:rightFromText="180" w:vertAnchor="text" w:horzAnchor="page" w:tblpX="1163" w:tblpY="868"/>
        <w:tblOverlap w:val="never"/>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1553"/>
        <w:gridCol w:w="1195"/>
        <w:gridCol w:w="5214"/>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6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序号</w:t>
            </w:r>
          </w:p>
        </w:tc>
        <w:tc>
          <w:tcPr>
            <w:tcW w:w="1553"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auto"/>
                <w:sz w:val="24"/>
                <w:szCs w:val="24"/>
                <w:vertAlign w:val="baseline"/>
              </w:rPr>
            </w:pPr>
            <w:r>
              <w:rPr>
                <w:rFonts w:hint="eastAsia" w:asciiTheme="minorEastAsia" w:hAnsiTheme="minorEastAsia" w:eastAsiaTheme="minorEastAsia" w:cstheme="minorEastAsia"/>
                <w:b/>
                <w:bCs/>
                <w:color w:val="auto"/>
                <w:sz w:val="24"/>
                <w:szCs w:val="24"/>
                <w:vertAlign w:val="baseline"/>
              </w:rPr>
              <w:t>评价内容</w:t>
            </w:r>
          </w:p>
        </w:tc>
        <w:tc>
          <w:tcPr>
            <w:tcW w:w="1195"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b/>
                <w:bCs/>
                <w:color w:val="auto"/>
                <w:sz w:val="24"/>
                <w:szCs w:val="24"/>
                <w:vertAlign w:val="baseline"/>
              </w:rPr>
            </w:pPr>
            <w:r>
              <w:rPr>
                <w:rFonts w:hint="eastAsia" w:asciiTheme="minorEastAsia" w:hAnsiTheme="minorEastAsia" w:eastAsiaTheme="minorEastAsia" w:cstheme="minorEastAsia"/>
                <w:b/>
                <w:bCs/>
                <w:color w:val="auto"/>
                <w:sz w:val="24"/>
                <w:szCs w:val="24"/>
                <w:vertAlign w:val="baseline"/>
              </w:rPr>
              <w:t>评价分值</w:t>
            </w:r>
          </w:p>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b w:val="0"/>
                <w:bCs w:val="0"/>
                <w:color w:val="auto"/>
                <w:sz w:val="21"/>
                <w:szCs w:val="21"/>
                <w:vertAlign w:val="baseline"/>
              </w:rPr>
              <w:t>（满分）</w:t>
            </w: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auto"/>
                <w:sz w:val="24"/>
                <w:szCs w:val="24"/>
                <w:vertAlign w:val="baseline"/>
              </w:rPr>
            </w:pPr>
            <w:r>
              <w:rPr>
                <w:rFonts w:hint="eastAsia" w:asciiTheme="minorEastAsia" w:hAnsiTheme="minorEastAsia" w:eastAsiaTheme="minorEastAsia" w:cstheme="minorEastAsia"/>
                <w:b/>
                <w:bCs/>
                <w:color w:val="auto"/>
                <w:sz w:val="24"/>
                <w:szCs w:val="24"/>
                <w:vertAlign w:val="baseline"/>
              </w:rPr>
              <w:t>评价标准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auto"/>
                <w:sz w:val="24"/>
                <w:szCs w:val="24"/>
                <w:vertAlign w:val="baseline"/>
              </w:rPr>
            </w:pPr>
            <w:r>
              <w:rPr>
                <w:rFonts w:hint="eastAsia" w:asciiTheme="minorEastAsia" w:hAnsiTheme="minorEastAsia" w:eastAsiaTheme="minorEastAsia" w:cstheme="minorEastAsia"/>
                <w:b/>
                <w:bCs/>
                <w:color w:val="auto"/>
                <w:sz w:val="24"/>
                <w:szCs w:val="24"/>
                <w:vertAlign w:val="baseline"/>
              </w:rPr>
              <w:t>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trPr>
        <w:tc>
          <w:tcPr>
            <w:tcW w:w="76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1</w:t>
            </w:r>
          </w:p>
        </w:tc>
        <w:tc>
          <w:tcPr>
            <w:tcW w:w="1553"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i w:val="0"/>
                <w:caps w:val="0"/>
                <w:color w:val="auto"/>
                <w:spacing w:val="0"/>
                <w:sz w:val="24"/>
                <w:szCs w:val="24"/>
                <w:shd w:val="clear" w:fill="FFFFFF"/>
              </w:rPr>
              <w:t>服务方案</w:t>
            </w:r>
          </w:p>
        </w:tc>
        <w:tc>
          <w:tcPr>
            <w:tcW w:w="119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20</w:t>
            </w: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rPr>
              <w:t>制定专项服务方案，对人员分工、责任划定，服务的难点、要点，服务质量保证措施等方面进行综合阐述，方案综合全面的得15-20分，比较规范的得8-14分，一般的得3-7分，没有的不得分</w:t>
            </w:r>
            <w:r>
              <w:rPr>
                <w:rFonts w:hint="eastAsia" w:asciiTheme="minorEastAsia" w:hAnsiTheme="minorEastAsia" w:cstheme="minorEastAsia"/>
                <w:color w:val="auto"/>
                <w:sz w:val="24"/>
                <w:szCs w:val="24"/>
                <w:vertAlign w:val="baseline"/>
                <w:lang w:eastAsia="zh-CN"/>
              </w:rPr>
              <w:t>。</w:t>
            </w:r>
            <w:r>
              <w:rPr>
                <w:rFonts w:hint="eastAsia" w:asciiTheme="minorEastAsia" w:hAnsiTheme="minorEastAsia" w:eastAsiaTheme="minorEastAsia" w:cstheme="minorEastAsia"/>
                <w:color w:val="auto"/>
                <w:sz w:val="24"/>
                <w:szCs w:val="24"/>
                <w:vertAlign w:val="baseline"/>
              </w:rPr>
              <w:t>此项满分20分。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trPr>
        <w:tc>
          <w:tcPr>
            <w:tcW w:w="761"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w:t>
            </w:r>
          </w:p>
        </w:tc>
        <w:tc>
          <w:tcPr>
            <w:tcW w:w="1553"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律所从业业绩及人员配备</w:t>
            </w:r>
          </w:p>
        </w:tc>
        <w:tc>
          <w:tcPr>
            <w:tcW w:w="1195"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30</w:t>
            </w: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近3年有为国企提供服务项目业绩的，其中央企在安徽省一级公司得3分，每增加一家的加2分；省属企业二级以上公司和市属重点监管企业得2分，每增加一家的加1分，此项满分10分。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4" w:hRule="atLeast"/>
        </w:trPr>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15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119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近5年具有为3家安徽省内上市公司（主板、创业板、科创板、北交所）提供常年法律顾问服务经验并承担该公司IPO、借壳上市或再融资、重大资产重组项目服务经验的得4分，每增加一家企业的加2分，此项满分10分。（同一家企业有多种类型服务的，不重复计算）</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15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119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拟派顾问律师须具有公司、证券和国有资产监管法律业务经验，有1人具有二级及以上律师职称或担任省律协各专业委员会主任、副主任委员的，得2分；有2人的，得4分；有3人的，得5分。此项满分5分。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15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119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拟派顾问律师有1人执业年限为10年以上（不含）的，得2分；有2人的，得4分；有3人的，得5分。此项满分5分。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trPr>
        <w:tc>
          <w:tcPr>
            <w:tcW w:w="761"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3</w:t>
            </w:r>
          </w:p>
        </w:tc>
        <w:tc>
          <w:tcPr>
            <w:tcW w:w="1553"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拟派的顾问律师从业业绩</w:t>
            </w:r>
          </w:p>
        </w:tc>
        <w:tc>
          <w:tcPr>
            <w:tcW w:w="1195"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40</w:t>
            </w: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i w:val="0"/>
                <w:caps w:val="0"/>
                <w:color w:val="auto"/>
                <w:spacing w:val="0"/>
                <w:sz w:val="24"/>
                <w:szCs w:val="24"/>
                <w:shd w:val="clear" w:fill="FFFFFF"/>
              </w:rPr>
              <w:t>拟派顾问律师近3年代理过央企在安徽省一级公司、省属企业二级公司以上、市属重点监管企业诉讼仲裁案件（标的额1000万元以上）且胜诉的，每代理一件得2分，此项满分10分。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4" w:hRule="atLeast"/>
        </w:trPr>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p>
        </w:tc>
        <w:tc>
          <w:tcPr>
            <w:tcW w:w="15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 w:val="0"/>
                <w:caps w:val="0"/>
                <w:color w:val="auto"/>
                <w:spacing w:val="0"/>
                <w:sz w:val="24"/>
                <w:szCs w:val="24"/>
                <w:shd w:val="clear" w:fill="FFFFFF"/>
              </w:rPr>
            </w:pPr>
          </w:p>
        </w:tc>
        <w:tc>
          <w:tcPr>
            <w:tcW w:w="119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拟派顾问律师近5年具有为2家安徽省内上市公司（主板、创业板、科创板、北交所）提供常年法律顾问服务经验并承担该公司IPO、借壳上市或再融资、重大资产重组项目服务经验的得4分，每增加一家企业的加2分，此项满分14分。（同一家企业有多种类型服务的，不重复计算）</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trPr>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p>
        </w:tc>
        <w:tc>
          <w:tcPr>
            <w:tcW w:w="15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 w:val="0"/>
                <w:caps w:val="0"/>
                <w:color w:val="auto"/>
                <w:spacing w:val="0"/>
                <w:sz w:val="24"/>
                <w:szCs w:val="24"/>
                <w:shd w:val="clear" w:fill="FFFFFF"/>
              </w:rPr>
            </w:pPr>
          </w:p>
        </w:tc>
        <w:tc>
          <w:tcPr>
            <w:tcW w:w="119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拟派顾问律师近3年具有为3家安徽省内县（市）区及以上政府和市级及市级以上党政行政机关提供常年法律顾问服务经验的得4分，每增加一家的加1分，此项满分8分。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p>
        </w:tc>
        <w:tc>
          <w:tcPr>
            <w:tcW w:w="15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 w:val="0"/>
                <w:caps w:val="0"/>
                <w:color w:val="auto"/>
                <w:spacing w:val="0"/>
                <w:sz w:val="24"/>
                <w:szCs w:val="24"/>
                <w:shd w:val="clear" w:fill="FFFFFF"/>
              </w:rPr>
            </w:pPr>
          </w:p>
        </w:tc>
        <w:tc>
          <w:tcPr>
            <w:tcW w:w="119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拟派顾问律师近3年具有为3家市级及以上国有私募基金提供常年法律顾问服务经验的得4分，每增加一家的加1分，此项满分8分。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76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w:t>
            </w:r>
          </w:p>
        </w:tc>
        <w:tc>
          <w:tcPr>
            <w:tcW w:w="1553"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荣誉奖项</w:t>
            </w:r>
          </w:p>
        </w:tc>
        <w:tc>
          <w:tcPr>
            <w:tcW w:w="119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10</w:t>
            </w: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律师事务所或拟派顾问律师获得国家级行政主管部门或中华全国律师协会颁发荣誉得3分，每增加一个得2分；获得省级行政主管部门或省律师协会颁发荣誉得2分，每增加一个得1分，获得市级行政主管部门或市律师协会颁发荣誉得1分，每增加一个得0.5分，此项满分1</w:t>
            </w:r>
            <w:r>
              <w:rPr>
                <w:rFonts w:hint="eastAsia" w:ascii="宋体" w:hAnsi="宋体" w:eastAsia="宋体" w:cs="宋体"/>
                <w:i w:val="0"/>
                <w:caps w:val="0"/>
                <w:color w:val="auto"/>
                <w:spacing w:val="0"/>
                <w:sz w:val="24"/>
                <w:szCs w:val="24"/>
                <w:shd w:val="clear" w:fill="FFFFFF"/>
                <w:lang w:val="en-US" w:eastAsia="zh-CN"/>
              </w:rPr>
              <w:t>0</w:t>
            </w:r>
            <w:r>
              <w:rPr>
                <w:rFonts w:hint="eastAsia" w:ascii="宋体" w:hAnsi="宋体" w:eastAsia="宋体" w:cs="宋体"/>
                <w:i w:val="0"/>
                <w:caps w:val="0"/>
                <w:color w:val="auto"/>
                <w:spacing w:val="0"/>
                <w:sz w:val="24"/>
                <w:szCs w:val="24"/>
                <w:shd w:val="clear" w:fill="FFFFFF"/>
              </w:rPr>
              <w:t>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31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 w:val="0"/>
                <w:caps w:val="0"/>
                <w:color w:val="auto"/>
                <w:spacing w:val="0"/>
                <w:sz w:val="24"/>
                <w:szCs w:val="24"/>
                <w:shd w:val="clear" w:fill="FFFFFF"/>
              </w:rPr>
            </w:pPr>
            <w:r>
              <w:rPr>
                <w:rFonts w:hint="eastAsia" w:asciiTheme="minorEastAsia" w:hAnsiTheme="minorEastAsia" w:cstheme="minorEastAsia"/>
                <w:b/>
                <w:bCs/>
                <w:color w:val="auto"/>
                <w:sz w:val="24"/>
                <w:szCs w:val="24"/>
                <w:vertAlign w:val="baseline"/>
                <w:lang w:val="en-US" w:eastAsia="zh-CN"/>
              </w:rPr>
              <w:t>合计</w:t>
            </w:r>
          </w:p>
        </w:tc>
        <w:tc>
          <w:tcPr>
            <w:tcW w:w="119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100</w:t>
            </w:r>
          </w:p>
        </w:tc>
        <w:tc>
          <w:tcPr>
            <w:tcW w:w="521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b/>
                <w:bCs/>
                <w:i w:val="0"/>
                <w:caps w:val="0"/>
                <w:color w:val="auto"/>
                <w:spacing w:val="0"/>
                <w:sz w:val="24"/>
                <w:szCs w:val="24"/>
                <w:shd w:val="clear" w:fill="FFFFFF"/>
                <w:lang w:val="en-US" w:eastAsia="zh-CN"/>
              </w:rPr>
              <w:t>总分</w:t>
            </w:r>
          </w:p>
        </w:tc>
        <w:tc>
          <w:tcPr>
            <w:tcW w:w="125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vertAlign w:val="baseline"/>
              </w:rPr>
            </w:pPr>
          </w:p>
        </w:tc>
      </w:tr>
    </w:tbl>
    <w:p>
      <w:pPr>
        <w:rPr>
          <w:rFonts w:hint="eastAsia" w:ascii="宋体" w:hAnsi="宋体" w:eastAsia="宋体" w:cs="宋体"/>
          <w:b/>
          <w:bCs w:val="0"/>
          <w:i w:val="0"/>
          <w:caps w:val="0"/>
          <w:color w:val="auto"/>
          <w:spacing w:val="0"/>
          <w:sz w:val="24"/>
          <w:szCs w:val="24"/>
        </w:rPr>
      </w:pPr>
      <w:r>
        <w:rPr>
          <w:rFonts w:hint="eastAsia" w:ascii="宋体" w:hAnsi="宋体" w:eastAsia="宋体" w:cs="宋体"/>
          <w:b/>
          <w:bCs w:val="0"/>
          <w:i w:val="0"/>
          <w:caps w:val="0"/>
          <w:color w:val="auto"/>
          <w:spacing w:val="0"/>
          <w:sz w:val="24"/>
          <w:szCs w:val="24"/>
        </w:rPr>
        <w:t>注：如果投标单位是外地律所在合肥设立的分支机构，以本地机构业绩为准；</w:t>
      </w:r>
    </w:p>
    <w:p>
      <w:pPr>
        <w:ind w:firstLine="482" w:firstLineChars="200"/>
        <w:rPr>
          <w:rFonts w:hint="default" w:eastAsia="宋体"/>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val="0"/>
          <w:i w:val="0"/>
          <w:caps w:val="0"/>
          <w:color w:val="auto"/>
          <w:spacing w:val="0"/>
          <w:sz w:val="24"/>
          <w:szCs w:val="24"/>
        </w:rPr>
        <w:t>本次招标不接受联合体投标；同一业绩不</w:t>
      </w:r>
      <w:r>
        <w:rPr>
          <w:rFonts w:hint="eastAsia" w:ascii="宋体" w:hAnsi="宋体" w:eastAsia="宋体" w:cs="宋体"/>
          <w:b/>
          <w:bCs w:val="0"/>
          <w:i w:val="0"/>
          <w:caps w:val="0"/>
          <w:color w:val="auto"/>
          <w:spacing w:val="0"/>
          <w:sz w:val="24"/>
          <w:szCs w:val="24"/>
          <w:lang w:val="en-US" w:eastAsia="zh-CN"/>
        </w:rPr>
        <w:t>重复</w:t>
      </w:r>
      <w:bookmarkStart w:id="0" w:name="_GoBack"/>
      <w:bookmarkEnd w:id="0"/>
      <w:r>
        <w:rPr>
          <w:rFonts w:hint="eastAsia" w:ascii="宋体" w:hAnsi="宋体" w:eastAsia="宋体" w:cs="宋体"/>
          <w:b/>
          <w:bCs w:val="0"/>
          <w:i w:val="0"/>
          <w:caps w:val="0"/>
          <w:color w:val="auto"/>
          <w:spacing w:val="0"/>
          <w:sz w:val="24"/>
          <w:szCs w:val="24"/>
          <w:lang w:val="en-US" w:eastAsia="zh-CN"/>
        </w:rPr>
        <w:t>计算。</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025341"/>
    <w:rsid w:val="09E65D3D"/>
    <w:rsid w:val="51025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185</TotalTime>
  <ScaleCrop>false</ScaleCrop>
  <LinksUpToDate>false</LinksUpToDate>
  <CharactersWithSpaces>0</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2025-08-27T09:20:00Z</dcterms:created>
  <dc:creator>Henecia朱小贤</dc:creator>
  <cp:lastModifiedBy>Henecia朱小贤</cp:lastModifiedBy>
  <dcterms:modified xsi:type="dcterms:W3CDTF">2025-09-03T06:41:24Z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ies>
</file>